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epistemic_virtue_modeling</w:t>
      </w:r>
    </w:p>
    <w:p>
      <w:r>
        <w:t xml:space="preserve"> </w:t>
      </w:r>
    </w:p>
    <w:p>
      <w:pPr>
        <w:pStyle w:val="Heading2"/>
      </w:pPr>
      <w:r>
        <w:t>Title</w:t>
      </w:r>
    </w:p>
    <w:p>
      <w:r>
        <w:t>Agent-based modeling and mixed-method experiments to test whether individual epistemic virtues causally improve collective scientific calibration and error correction</w:t>
      </w:r>
    </w:p>
    <w:p>
      <w:r>
        <w:t xml:space="preserve"> </w:t>
      </w:r>
    </w:p>
    <w:p>
      <w:pPr>
        <w:pStyle w:val="Heading2"/>
      </w:pPr>
      <w:r>
        <w:t>Short Hypothesis</w:t>
      </w:r>
    </w:p>
    <w:p>
      <w:r>
        <w:t>Raising average individual intellectual humility within scientific teams causes improved collective calibration and faster error detection and correction compared to equivalent increases in structural incentives alone.</w:t>
      </w:r>
    </w:p>
    <w:p>
      <w:r>
        <w:t xml:space="preserve"> </w:t>
      </w:r>
    </w:p>
    <w:p>
      <w:pPr>
        <w:pStyle w:val="Heading2"/>
      </w:pPr>
      <w:r>
        <w:t>Related Work</w:t>
      </w:r>
    </w:p>
    <w:p>
      <w:r>
        <w:t>Two broad research strands address why science works: structural accounts and virtue-focused accounts. Structural accounts explain collective success by incentive systems, division of cognitive labor, and market-like processes that align individual self-interest with reliable outcomes. Virtue-focused accounts emphasize individual dispositions (e.g., humility, curiosity, rigor) as drivers of good epistemic behavior. Computational work (agent-based models) has simulated information diffusion and polarization but often uses simple agent rules without empirically calibrated trait distributions. Experimental studies test team diversity, openness, and forecasting accuracy but rarely manipulate validated individual virtues or link results to real-world archival signals. Bibliometric and NLP work extract hedging, corrections, and openness indicators from corpora, but classifiers suffer domain shifts and limited recall across disciplines. Ethnographic studies show contextual mechanisms but are not routinely integrated with formal models. Limitations: structural models may understate individual dispositions; ABMs lack mixed-method calibration; experiments lack cross-modal validation; archival NLP needs higher label quality and broader coverage.</w:t>
      </w:r>
    </w:p>
    <w:p>
      <w:r>
        <w:t xml:space="preserve"> </w:t>
      </w:r>
    </w:p>
    <w:p>
      <w:pPr>
        <w:pStyle w:val="Heading2"/>
      </w:pPr>
      <w:r>
        <w:t>Abstract</w:t>
      </w:r>
    </w:p>
    <w:p>
      <w:r>
        <w:t>The project examines whether and how individual epistemic virtues (like intellectual humility and curiosity) causally contribute to the reliability of scientific communities, beyond explanations based on external incentives and structure. We combine agent-based modeling, controlled lab experiments, archival NLP of ≈10,000 papers, and multi-site ethnography to measure individual traits, collective outcomes, and the mechanisms linking them. The main contribution is an empirically calibrated, mixed-method pipeline that (1) operationalizes individual and collective virtues with matched behavioral proxies and archival indicators, (2) uses experiments to identify causal effects of virtue manipulations on sharing, dissent, and belief updating, and (3) uses ABMs calibrated with empirical trait distributions and network statistics to test generality and boundary conditions. Expected outcomes include falsifiable estimates of virtue effects on collective calibration, validated archival classifiers for hedging and corrections, ABM scenarios showing when virtues matter most, and a set of operational measures usable in policy and replication studies. Results will clarify whether cultivating individual epistemic virtues is necessary for resilient scientific institutions.</w:t>
      </w:r>
    </w:p>
    <w:p>
      <w:r>
        <w:t xml:space="preserve"> </w:t>
      </w:r>
    </w:p>
    <w:p>
      <w:pPr>
        <w:pStyle w:val="Heading2"/>
      </w:pPr>
      <w:r>
        <w:t>Experiments</w:t>
      </w:r>
    </w:p>
    <w:p>
      <w:r>
        <w:t>Datasets: (1) Lab experiments: three preregistered studies. A. Diversity×Openness 2×2: 48 groups per cell? Pilot: 12 groups/cell, group size 4, total N=192 participants; final N scaled by power analysis. B. Humility prime vs control: N=300 individuals for psychometrics; N=48 groups (size 4) for behavioral mediation. C. Trust×Procedures: 48 groups, group size 4, pilot. (2) Archival: stratified sample of ~10,000 papers from OpenAlex, arXiv, bioRxiv, and PubMed Central with linked Unpaywall, GitHub/Zenodo artifacts, and Retraction Watch flags. (3) Ethnography: pilot at 2 labs, then 4–6 sites for mechanism mapping. Baselines: (i) structural-only ABM where agents act by incentive-maximizing rules without stable epistemic traits; (ii) no-humility manipulation groups; (iii) existing team forecasting protocols without openness manipulation. Evaluation metrics: collective calibration measured by Brier score and calibration slope (Brier: lower is better), accuracy (proportion correct), time-to-correction (hours/days), replication-success proxy (archival replication citation rate), information-sharing counts, dissent rate, Blau index and Shannon entropy for diversity, classifier precision/recall/F1 for NLP labels (target F1≥0.80). Experimental setup: preregistered manipulations, multilevel analysis (individuals nested in groups), mediation models for sharing/dissent, mixed-effects regression for outcomes with random intercepts for group and trial. ABM calibration: use approximate Bayesian computation (ABC) or Bayesian calibration to fit Beta-distributed trait priors (humility mean 0.60 SD 0.15, curiosity mean 0.55 SD 0.20, trustworthiness mean 0.65 SD 0.18) to observed lab and archival distributions; run parameter sweeps over network topologies (small-world rewiring 0.05–0.2; core–periphery core 10–30%; modularity 0.3–0.7) and verification costs (0.1–0.6). Ablation studies: (A) set humility parameter to zero in ABM and re-run to quantify loss in calibration and time-to-correction; (B) remove procedural openness in experiments to compare accuracy and robustness; (C) ablate archival classifier signal (remove hedging label) to test contribution to ABM priors. Report confidence intervals and pre-specified effect-size thresholds; all code, synthetic data, and analysis scripts preregistered.</w:t>
      </w:r>
    </w:p>
    <w:p>
      <w:r>
        <w:t xml:space="preserve"> </w:t>
      </w:r>
    </w:p>
    <w:p>
      <w:pPr>
        <w:pStyle w:val="Heading2"/>
      </w:pPr>
      <w:r>
        <w:t>Risk Factors And Limitations</w:t>
      </w:r>
    </w:p>
    <w:p>
      <w:r>
        <w:t>Measurement risk: short-form scales and behavioral proxies may not validly capture deep dispositions; manipulation checks may fail. NLP risk: domain shift across disciplines may lower classifier F1 below 0.80, causing biased archival inputs. ABM risk: model misspecification or unobserved heterogeneity could lead to misleading inferences; calibration depends on quality of empirical priors. Ethnography risk: access and observer effects limit generality of mechanism maps. Causal inference limits: lab tasks simplify real scientific work; external validity to real labs and fields may be constrained. Data governance risk: network or small-group logs may be sensitive and restrict sharing; synthetic data may not preserve all dependence structures. Scalability and compute: large ABM sweeps and fine-tuning transformer models for NLP require substantial compute and time. Generalization limits: effects may vary by discipline, career stage, and national context and may not transfer uniformly.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