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women_founders_gender_visibility_de</w:t>
      </w:r>
    </w:p>
    <w:p>
      <w:r>
        <w:t xml:space="preserve"> </w:t>
      </w:r>
    </w:p>
    <w:p>
      <w:pPr>
        <w:pStyle w:val="Heading2"/>
      </w:pPr>
      <w:r>
        <w:t>Title</w:t>
      </w:r>
    </w:p>
    <w:p>
      <w:r>
        <w:t>Mixed-methods analysis of how visibility practices shape gendered funding and norms among women tech founders in Germany</w:t>
      </w:r>
    </w:p>
    <w:p>
      <w:r>
        <w:t xml:space="preserve"> </w:t>
      </w:r>
    </w:p>
    <w:p>
      <w:pPr>
        <w:pStyle w:val="Heading2"/>
      </w:pPr>
      <w:r>
        <w:t>Short Hypothesis</w:t>
      </w:r>
    </w:p>
    <w:p>
      <w:r>
        <w:t>When women tech founders use masculine framing in investor pitches, their probability and amount of early-stage funding increase relative to founders who use gender-neutral or caregiving-inclusive framing, holding firm, founder, and regional controls constant.</w:t>
      </w:r>
    </w:p>
    <w:p>
      <w:r>
        <w:t xml:space="preserve"> </w:t>
      </w:r>
    </w:p>
    <w:p>
      <w:pPr>
        <w:pStyle w:val="Heading2"/>
      </w:pPr>
      <w:r>
        <w:t>Related Work</w:t>
      </w:r>
    </w:p>
    <w:p>
      <w:r>
        <w:t>Prior work documents gender gaps in startup funding and studies how founders perform gender in interaction. Computational studies use lexica and supervised models to detect gendered language, and some field work links presentation style to investor responses. Organizational research examines formal policies (parental leave, flexible governance) that aim to change gendered divisions. Limitations: many studies are single-method (only surveys or only text), cross-sectional, small or English-only corpora, or lack causal designs. Existing NLP measures often lack bilingual validation and joint validation with qualitative codes. Few works combine interviews, pitch observations, longitudinal outcomes, network ties, and quasi-experiments to separate tactical performance (doing) from structural change (redoing/undoing). Measurement invariance across languages and intersectional subgroups remains under-addressed.</w:t>
      </w:r>
    </w:p>
    <w:p>
      <w:r>
        <w:t xml:space="preserve"> </w:t>
      </w:r>
    </w:p>
    <w:p>
      <w:pPr>
        <w:pStyle w:val="Heading2"/>
      </w:pPr>
      <w:r>
        <w:t>Abstract</w:t>
      </w:r>
    </w:p>
    <w:p>
      <w:r>
        <w:t>This study investigates how women tech founders in Germany shape their public visibility and whether those practices reproduce, reconfigure, or dismantle gendered expectations. We use a convergent parallel mixed-methods design combining qualitative interviews (≈70 women founders, 25 investors, 10 intermediaries), systematic pitch observations, a stratified survey (target N=600 women founders, 200 male benchmarks), pitch transcripts, network ties, and NLP of bilingual text. We operationalize three categories—doing, redoing, undoing—via 18 analytic markers mapped across survey items, interview probes, observation cues, and NLP features. We test a causal claim linking pitch framing to funding outcomes using staggered difference-in-differences, regression discontinuity where applicable, and matching designs. Main contributions: (1) a validated bilingual annotation corpus and joint codebook; (2) integrated indicators that connect performative language to organizational policies and funding; (3) quasi-experimental evidence on whether tactical strategies translate into durable shifts in investor behavior. Expected impact: clearer, testable links between visibility practices and gendered funding dynamics in the German tech ecosystem.</w:t>
      </w:r>
    </w:p>
    <w:p>
      <w:r>
        <w:t xml:space="preserve"> </w:t>
      </w:r>
    </w:p>
    <w:p>
      <w:pPr>
        <w:pStyle w:val="Heading2"/>
      </w:pPr>
      <w:r>
        <w:t>Experiments</w:t>
      </w:r>
    </w:p>
    <w:p>
      <w:r>
        <w:t>Datasets: (1) Survey dataset: target 600 women founders + 200 male benchmarks with region, stage, sector, migration background, caregiving status, funding history; (2) Qualitative: 70 interviews (women founders), 25 investor interviews, 10 intermediary interviews; (3) Pitch corpus: audio+transcripts of ≈200 pitches and accelerator events (German and English); (4) Administrative/event data: accelerator program rollouts, regional policy start dates, grant eligibility thresholds; (5) Network links: founder-investor ties from Crunchbase/Dealroom/Handelsregister and self-report. Baselines: A. demographic-controls-only regression; B. lexicon-only model (masculine lexicon score); C. survey-only model without NLP; D. monolingual NLP models. Evaluation metrics: funding probability (AUC, log-loss), funding amount (RMSE, mean absolute percentage error), time-to-funding (Cox proportional hazards concordance), NLP classification F1 for marker labels, inter-annotator reliability (Krippendorff's alpha), measurement-invariance fit (CFI, RMSEA, ΔCFI). Experimental setup: 1) NLP: build bilingual lexica and transformer-based classifiers fine-tuned on a 200+ annotated corpus; report per-marker F1 and macro F1; hold out 20% as external test. 2) Validation: inter-annotator Krippendorff alpha &gt;= 0.70 expected for core markers. 3) Measurement invariance: run multi-group confirmatory factor analysis (CFA) across German/English for each marker scale with thresholds CFI&gt;0.95, RMSEA&lt;0.06, and ΔCFI&lt;0.01 for metric/scalar invariance. 4) Causal tests: (a) staggered DiD event-study around accelerator/policy rollouts with region and time fixed effects (use Callaway-Sant'Anna style estimators); (b) regression discontinuity (RD) at grant eligibility cutoffs where available; (c) propensity-score or entropy-balanced matching for firms that adopt formal policies versus non-adopters. 5) Multilevel outcomes: mixed-effects logistic/linear models with random intercepts for region and accelerator, clustering SEs by founder. Ablation studies: i) full model (survey + NLP + network + policy indicators) versus model without NLP features; ii) transformer NLP versus lexicon-only features; iii) bilingual model versus language-specific models; iv) excluding network covariates. Pre-registration: specify primary outcome (funding within 12 months) and primary NLP markers, causal windows, and placebo tests (lead-lag checks).</w:t>
      </w:r>
    </w:p>
    <w:p>
      <w:r>
        <w:t xml:space="preserve"> </w:t>
      </w:r>
    </w:p>
    <w:p>
      <w:pPr>
        <w:pStyle w:val="Heading2"/>
      </w:pPr>
      <w:r>
        <w:t>Risk Factors And Limitations</w:t>
      </w:r>
    </w:p>
    <w:p>
      <w:r>
        <w:t>Technical: NLP may overfit to pilot data or to regional speech patterns; transformer models may require more annotated data for stable performance. Annotation: low inter-annotator agreement on subtle markers (emotional labor, homosocial signaling) can reduce validity. Measurement: cross-language measurement invariance may fail for some items, forcing removal or rewording and reducing comparability. Causal inference: unobserved confounding may bias DiD/matching estimates if rollouts are endogenous. Data: recruitment may under-represent migrants, caregivers, or late-stage founders, limiting subgroup tests. GDPR and consent: restrictions may limit collection of network ties or require deletion of raw audio, reducing reproducibility. Generalization: findings focused on German tech hubs may not generalize to other countries or non-tech sectors. Computation: training multilingual models and running multilevel causal models may be compute-intensive for limited budgets.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