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santander_export_growth_regression</w:t>
      </w:r>
    </w:p>
    <w:p>
      <w:r>
        <w:t xml:space="preserve"> </w:t>
      </w:r>
    </w:p>
    <w:p>
      <w:pPr>
        <w:pStyle w:val="Heading2"/>
      </w:pPr>
      <w:r>
        <w:t>Title</w:t>
      </w:r>
    </w:p>
    <w:p>
      <w:r>
        <w:t>Dynamic panel and gravity regression analysis of determinants of firm-level export growth in Santander, Colombia (2010–2020)</w:t>
      </w:r>
    </w:p>
    <w:p>
      <w:r>
        <w:t xml:space="preserve"> </w:t>
      </w:r>
    </w:p>
    <w:p>
      <w:pPr>
        <w:pStyle w:val="Heading2"/>
      </w:pPr>
      <w:r>
        <w:t>Short Hypothesis</w:t>
      </w:r>
    </w:p>
    <w:p>
      <w:r>
        <w:t>Reductions in effective ad-valorem trade costs (caused by lower customs dwell times or lower applied tariffs) causally increase year-on-year export value growth of Santander exporting firms during 2010–2020.</w:t>
      </w:r>
    </w:p>
    <w:p>
      <w:r>
        <w:t xml:space="preserve"> </w:t>
      </w:r>
    </w:p>
    <w:p>
      <w:pPr>
        <w:pStyle w:val="Heading2"/>
      </w:pPr>
      <w:r>
        <w:t>Related Work</w:t>
      </w:r>
    </w:p>
    <w:p>
      <w:r>
        <w:t>Existing approaches combine gravity models and panel econometrics to estimate trade elasticities and policy effects. Gravity estimators such as PPML (Poisson Pseudo‑Maximum Likelihood, a method that models trade flows directly as counts or values and handles zero flows) are standard for bilateral flow estimation and control for multilateral resistance via exporter/importer fixed effects. Dynamic panel methods like system GMM (a technique using lagged variables as instruments to control persistence and endogeneity) are used to estimate persistence in exports and productivity effects. CGE/GTAP models (computable general equilibrium models that simulate economy-wide responses) are common to translate elasticities into value-added and employment impacts. Micro-level cost-to-serve and logistics studies use customs and shipment KPIs to estimate ad-valorem trade-cost equivalents. Limitations across this literature include: weak instruments for exchange-rate and partner-demand shocks, limited propagation of HS-mapping and imputation uncertainty into final elasticities, sparse integration of firm financials with bilateral flows, inconsistent harmonization across HS revisions, insufficient use of logistics KPIs to quantify ad-valorem equivalents, and limited small-sample inference for SME cohorts. Prior work rarely preregisters falsifiable sector-level predictions or uses hierarchical Monte Carlo to fold mapping uncertainty into policy CIs.</w:t>
      </w:r>
    </w:p>
    <w:p>
      <w:r>
        <w:t xml:space="preserve"> </w:t>
      </w:r>
    </w:p>
    <w:p>
      <w:pPr>
        <w:pStyle w:val="Heading2"/>
      </w:pPr>
      <w:r>
        <w:t>Abstract</w:t>
      </w:r>
    </w:p>
    <w:p>
      <w:r>
        <w:t>This study estimates causal drivers of firm-level export growth in Santander, Colombia over 2010–2020 by combining dynamic panel regression, bilateral gravity estimation, and logistics-derived trade-cost measures. We link firm financials and regional opportunity-map data with harmonized HS-6 trade flows and customs/logistics KPIs to estimate how productivity, tariffs, exchange rates, and ad-valorem trade costs affect export value growth. The main approach integrates system GMM for dynamic sector panels and PPML gravity for bilateral flows, with an instrument set including commodity-price shocks and policy variation and robustness checks using Lewbel-style instruments (an alternative IV that uses heteroskedasticity). A key contribution is hierarchical uncertainty propagation: we sample HS-6→IO mapping and imputation draws jointly with parameter draws to produce confidence intervals that reflect both econometric and harmonization uncertainty. Expected outcomes are sector-specific causal elasticities, ad-valorem trade-cost equivalents for logistics KPIs, and pre-registered, testable predictions that support ROI-based SME pilot gates for export growth interventions.</w:t>
      </w:r>
    </w:p>
    <w:p>
      <w:r>
        <w:t xml:space="preserve"> </w:t>
      </w:r>
    </w:p>
    <w:p>
      <w:pPr>
        <w:pStyle w:val="Heading2"/>
      </w:pPr>
      <w:r>
        <w:t>Experiments</w:t>
      </w:r>
    </w:p>
    <w:p>
      <w:r>
        <w:t>Datasets: (1) Harmonized HS-6 bilateral trade flows (UN Comtrade, BACI, WITS) for 2010–2020 with cross-revision concordances (HS-6 = 6-digit product codes); (2) firm-level financials and balance-sheet variables for 128 Santander exporters, 2010–2020; (3) regional opportunity map indicators and sector IO concordances (GTAP/ national IO mapping); (4) applied tariffs and preferential tariff schedules, FTA dates and origin rule metadata; (5) customs/logistics KPIs: dwell time, modal share, cold-chain failure rate, shipment unit-values; (6) partner GDP and commodity-price indices (Brent, FAO food index, LME metals). Baselines: (A) OLS with firm or sector fixed effects; (B) panel fixed-effects with lagged dependent variable (naive dynamic FE); (C) system GMM dynamic panel without gravity controls; (D) PPML gravity with simple exporter/importer FE; (E) IV using commodity-price instruments; (F) Lewbel heteroskedasticity-based IV as alternative. Models to run: system GMM for sector panels (controls: sector and year fixed effects); PPML for bilateral flows with exporter-year and importer-year fixed effects (explains trade flows and logistics KPIs). Instrument tests: report first-stage F-statistics, Kleibergen-Paap, Shea partial R2, Hansen/Sargan overidentification. Threshold: accept instrument if F&gt;10 or Kleibergen-Paap&gt;10; otherwise implement Lewbel or leave-one-out partner GDP instruments. Uncertainty propagation: hierarchical Monte Carlo that jointly samples (a) multiple imputation/mapping draws for HS-6→IO concordance (use at least M=50 imputation/mapping draws) and (b) econometric parameter draws; run Monte Carlo with 10,000 parameter draws while also reporting sensitivity at 5,000 and 20,000 draws. Evaluation metrics: elasticity point estimates with combined 90% and 95% CIs; RMSE for out-of-sample prediction of preregistered shocks; CI coverage (proportion of realized outcomes inside predicted intervals); first-stage F &amp; Kleibergen-Paap; bias and variance across aggregation-sensitivity (20/30/40 sector GTAP mappings); PPML dispersion and convergence diagnostics; accuracy of ad-valorem trade-cost equivalents estimated from logistics KPIs (compare PPML-derived ad-valorem to direct cost-to-serve calculations) measured by mean absolute percentage error (MAPE). Ablation studies: (1) remove mapping/imputation uncertainty (treat concordance as fixed) to measure CI narrowing; (2) exclude Lewbel instruments to assess instrument dependence; (3) replace exporter-year/importer-year FE with exporter×importer FE in PPML to test MR (multilateral resistance) sensitivity; (4) run Monte Carlo at 5k/10k/20k draws to show CI stability. Pre-registered falsifiable predictions (three sector-level tests to be evaluated out-of-sample): (P1) Electronics: a 10% real effective depreciation yields a year-1 export value increase in electronics firms of between 5% and 10% (accept if realized value falls inside predicted 90% CI and sign positive); (P2) Agro-processed foods: a 5–10% unilateral tariff cut yields a year-1 export value increase between 3% and 7%; (P3) Chemicals/plastics: reducing customs dwell time by 20% (translated to ad-valorem reduction) yields a year-1 export value increase of 4%–9%. Acceptance criteria: RMSE for predicted vs realized percent change &lt;10% of observed mean change; empirical coverage of 90% CIs ≥90%; estimated sign matches observed sign. Deliverables per experiment: table of elasticity estimates with hierarchical CIs, first-stage diagnostics, ad-valorem conversion formulas for KPIs, Monte Carlo convergence plots, ablation comparison tables, and out-of-sample prediction evaluation for P1–P3.</w:t>
      </w:r>
    </w:p>
    <w:p>
      <w:r>
        <w:t xml:space="preserve"> </w:t>
      </w:r>
    </w:p>
    <w:p>
      <w:pPr>
        <w:pStyle w:val="Heading2"/>
      </w:pPr>
      <w:r>
        <w:t>Risk Factors And Limitations</w:t>
      </w:r>
    </w:p>
    <w:p>
      <w:r>
        <w:t>Weak instruments: commodity-price or partner-GDP instruments may be weak for some sectors, producing biased IV estimates; thresholds (F&lt;10) will flag this risk. Measurement and harmonization bias: HS-6 revisions, imperfect HS→IO mapping, and imputation of missing HS-6 or firm links can bias estimates; these mapping errors increase uncertainty. Small-sample firm inference: only 128 firm-level records limit power for firm heterogeneity tests and increase sampling variance. Endogeneity and omitted variables: unobserved firm-level shocks or policy changes may confound causal identification if instruments are invalid. PPML failure modes: convergence issues or dispersion mis-specification for sparse flows may yield unstable coefficients. Computational cost: hierarchical Monte Carlo combining many imputation draws with 10k+ parameter draws is compute intensive and may require high-performance compute. Generalization limits: results apply to Santander (2010–2020) and may not generalize to other regions or post-2020 structural shifts (post-pandemic trade patterns). Data access and privacy: firm-level tax/VAT linkages may be restricted, limiting micro‑linkage completeness. Policy translation limits: CGE/GTAP-lite aggregation choices (20/30/40 sectors) change counterfactual magnitudes, so aggregation sensitivity is a structural limitation.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