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effectuation_precommitments_internationalization</w:t>
      </w:r>
    </w:p>
    <w:p>
      <w:r>
        <w:t xml:space="preserve"> </w:t>
      </w:r>
    </w:p>
    <w:p>
      <w:pPr>
        <w:pStyle w:val="Heading2"/>
      </w:pPr>
      <w:r>
        <w:t>Title</w:t>
      </w:r>
    </w:p>
    <w:p>
      <w:r>
        <w:t>A mixed-methods causal study of how financial, contractual, and relational pre-commitments influence early international performance of SMEs</w:t>
      </w:r>
    </w:p>
    <w:p>
      <w:r>
        <w:t xml:space="preserve"> </w:t>
      </w:r>
    </w:p>
    <w:p>
      <w:pPr>
        <w:pStyle w:val="Heading2"/>
      </w:pPr>
      <w:r>
        <w:t>Short Hypothesis</w:t>
      </w:r>
    </w:p>
    <w:p>
      <w:r>
        <w:t>SMEs that receive verified relational pre-commitments (buyer LOIs), financial pre-commitments (earmarked export capital), or contractual pre-commitments (short-term enforceable agreements) will have a higher probability of export entry and greater two-year foreign sales growth than comparable SMEs without such pre-commitments.</w:t>
      </w:r>
    </w:p>
    <w:p>
      <w:r>
        <w:t xml:space="preserve"> </w:t>
      </w:r>
    </w:p>
    <w:p>
      <w:pPr>
        <w:pStyle w:val="Heading2"/>
      </w:pPr>
      <w:r>
        <w:t>Related Work</w:t>
      </w:r>
    </w:p>
    <w:p>
      <w:r>
        <w:t>Prior work links effectuation (decision rules under uncertainty) and real-options reasoning to firm internationalization, suggesting that commitments and staged investments support entry and growth. Empirical studies typically show associations between networking, committed resources, and export outcomes, and theory predicts mediators such as market learning, resource availability, and partner credibility. Limitations of existing approaches include: reliance on cross-sectional or correlational designs that cannot establish causality; small or single-country samples that limit external validity; coarse or subjective measures of pre-commitments and mediators; limited use of administrative export records; and scarce evidence from randomized or quasi-experimental interventions to test mechanisms. Mediation pathways and heterogeneous effects by institutional uncertainty, industry dynamism, and entry mode remain under-examined.</w:t>
      </w:r>
    </w:p>
    <w:p>
      <w:r>
        <w:t xml:space="preserve"> </w:t>
      </w:r>
    </w:p>
    <w:p>
      <w:pPr>
        <w:pStyle w:val="Heading2"/>
      </w:pPr>
      <w:r>
        <w:t>Abstract</w:t>
      </w:r>
    </w:p>
    <w:p>
      <w:r>
        <w:t>This study tests whether three types of pre-commitments—relational (verified buyer letters of intent), financial (earmarked export capital), and contractual (short-term enforceable agreements)—cause improved early-stage international outcomes for small and medium enterprises (SMEs). We combine a stratified randomized pilot intervention and a larger mixed-methods causal backbone using firm-year panels, natural policy shocks, and qualitative process tracing. Primary outcomes are export entry probability, time-to-first-sale, two-year foreign sales growth, export intensity, and three-to-five-year foreign-market survival. The main contribution is causal evidence on which pre-commitments drive entry and growth and why, by measuring mediators (resource availability, market-knowledge velocity, partner credibility, governance flexibility) and testing moderators (institutional uncertainty, industry dynamism, firm experience, entry mode). Expected impact: clarifying which pre-commitments are effective under which conditions and producing a validated measurement and ETL toolkit for future interventions and policy design.</w:t>
      </w:r>
    </w:p>
    <w:p>
      <w:r>
        <w:t xml:space="preserve"> </w:t>
      </w:r>
    </w:p>
    <w:p>
      <w:pPr>
        <w:pStyle w:val="Heading2"/>
      </w:pPr>
      <w:r>
        <w:t>Experiments</w:t>
      </w:r>
    </w:p>
    <w:p>
      <w:r>
        <w:t>Design: Pilot randomized trial (N≈200 firms) with four arms randomized within strata (industry, size, prior experience): A) Financial voucher (earmarked export capital, escrowed); B) Contract facilitation (standard short-term non-exclusive template + legal facilitation); C) Relational facilitation (vetted buyer LOIs and introductions); D) Active control (standard export advisory). Follow-ups at 6, 12, and 24 months. Main study: scaled RCT or quasi-experimental rollout (N≈400–800) depending on pilot ICCs. Datasets: firm surveys (mediator batteries), administrative customs/export transaction logs (time-to-first-sale, export volumes), Orbis firm financials, national contract registries, export-promotion rosters. Baselines: active control arm and observational pre-post panel estimates with fixed effects. Evaluation metrics: export entry probability (binary), time-to-first-sale (months), two-year foreign sales growth (%), export intensity (exports/total sales), foreign-market survival at 3–5 years (binary/time-to-event). Statistical methods: ITT and CACE estimation (instrument = random assignment); panel fixed effects; system GMM (a dynamic panel estimator that uses lagged variables as instruments) for longitudinal causal effects; DiD/event-study around phased policy shocks; IV using an enforcement-index as instrument. Mediation: panel structural equation modeling (SEM) decomposing indirect effects through ResourceAvailability, MarketKnowledge, Credibility, GovernanceFlexibility. Robustness and ablations: 1) remove each treatment arm to test marginal contributions; 2) factorial interaction tests (2x2 for pairs of pre-commitments); 3) placebo outcomes (domestic sales), placebo dates, lead-lag checks; 4) alternative lags (primary: pre-commitment→mediator 3–12 months, mediator→outcome 6–24 months; robustness: quarterly and annual grids). Power and sample: pilot N≈200; main N≈400–800 depending on observed ICCs (pilot ICC inputs: firm≈0.05, cluster≈0.10–0.20).</w:t>
      </w:r>
    </w:p>
    <w:p>
      <w:r>
        <w:t xml:space="preserve"> </w:t>
      </w:r>
    </w:p>
    <w:p>
      <w:pPr>
        <w:pStyle w:val="Heading2"/>
      </w:pPr>
      <w:r>
        <w:t>Risk Factors And Limitations</w:t>
      </w:r>
    </w:p>
    <w:p>
      <w:r>
        <w:t>Endogeneity and reverse causality in observational comparisons (past success may drive pre-commitments). Noncompliance and partial take-up in treatment arms reducing effective power. Spillovers between firms or buyers causing contamination of control groups. Attrition in longitudinal follow-up and missing administrative linkage. Measurement error in self-reported mediators and in legal/contract registry coding. Legal and ethical constraints when operationalizing contracts and financial transfers across jurisdictions. Limited generalization if pilot countries or industries are not representative; heterogeneous institutional contexts may produce non-linear or threshold effects. Power shortfalls if ICCs exceed pilot estimates or effect sizes are smaller than anticipated. Scalability constraints from partner capacity, data access limits, and cross-country differences in registry availability.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