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variable_code_expertise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large-scale empirical study using repository mining and telemetry to evaluate whether standard expertise metrics identify developers who work on preprocessor-based variable code in configurable software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Conventional expertise metrics (commit count, tenure, and review acceptance rate) do not significantly predict which developers perform the majority of preprocessor-based variable-code edits across configurable software projects.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measures developer expertise with repository-derived proxies (commit counts, tenure, file ownership, social-network centrality, and review acceptance) and separately analyses configuration or variability artifacts in software product lines and preprocessor-based systems. Prior studies often use single projects or small multi-project samples, rely on whole-repo or file-level aggregates that mix variable and mandatory code, and evaluate metrics without telemetry or manual validation. Limitations include: (1) aggregation bias that hides concentration of variable-code work, (2) lack of cross-format harmonization for Kconfig/CMake/flag representations, (3) few studies test measurement invariance across configuration ecosystems, (4) scarce integration of developer telemetry (IDE/CI events) with mined history, and (5) weak causal evaluation of interventions or metric validity. These gaps leave open whether standard expertise proxies actually identify developers proficient on variable code.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widely used repository-based expertise metrics identify developers who work on preprocessor-based variable code in configurable software systems. We combine large-scale repository mining of configurable artifacts with optional developer telemetry and manual validation to (1) separate variable (preprocessor-guarded) from mandatory code, (2) compute a Config-Activity Index (CAI) and conventional expertise proxies, and (3) test predictive and causal validity of those proxies for identifying who performs variable-code work and for predicting configuration-related outcomes (defect introduction and time-to-resolution). Main contributions: a unified parsing and canonical schema for diverse config formats, an empirical assessment of predictive power of standard metrics versus telemetry-augmented measures, and a validation dataset linking automated proxies to human labels. Expected outcomes: quantification of concentration of variable-code workload across developers, evidence of whether conventional metrics are adequate proxies, and reproducible artifacts (ETL, schemas, synthetic data) to support further study.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Mine 25 public configurable software system (CSS) repositories containing preprocessor-based variability (Kconfig/CMake/Bazel/flags), totaling tens of thousands of commits and developers; (B) Pilot telemetry from 30 volunteer developers across 6–8 pilot repos for 4 weeks capturing CAI signals; (C) Synthetic dataset reproducing schema for reproducibility; (D) Optional controlled industrial repositories if available. Baselines: commit_count, tenure_months, file_ownership_fraction, review_acceptance_rate, social_centrality (PR/issue graph), and a telemetry-augmented baseline (CAI alone). Feature set: conventional metrics, CAI (Config-Activity Index: normalized freq of config-file edits weighted by edit size and review depth), NLP domain-term usage, authored-config-tests proportion, and reviewer gate actions. Variable-code labeling: parse files for preprocessor directives to mark variable-code hunks; compute per-developer variable-edit share. Predictive tasks: (1) binary classification of whether a developer is in the top X% of variable-code contributors per project; (2) regression to predict developer variable-edit share; (3) prediction of config-related defect introduction (binary) per commit; (4) time-to-resolution survival analysis for config-related defects. Models: logistic regression, random forest, gradient-boosted trees, and multilevel GLMMs with developer and project random effects. Causal tests: difference-in-differences (DiD) with project and time fixed effects and stepped-wedge GLMM for any staged interventions. Measurement invariance: multigroup CFA for continuous latent constructs (CAI, tenure, review depth) with pre-registered fit thresholds (CFI&gt;=0.95, RMSEA&lt;=0.06) and multigroup graded-response IRT for item counts. Validation: stratified manual labeling sampling 5–10% of events, minimum 30 labels per stratum, total &gt;=200 labels, target IAA Cohen's kappa&gt;=0.7. Evaluation metrics: classification AUC, precision@k, recall, F1, R^2 for regressions, Gini coefficient for concentration, concordance index and hazard ratios for survival models, DiD average treatment effects with clustered standard errors. Experimental setup: temporal train/validation/test split (train up to time T0, validate on T0-T1, test after T1) and leave-one-project-out cross-validation for generalization; ablations: remove (a) telemetry features, (b) NLP domain-term features, (c) reviewer-action features to measure contribution of each feature group; report per-project and pooled results with 95% CI.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misclassification of variable vs mandatory code due to diverse preprocessor idioms and false positives/negatives in parsers. Selection bias: telemetry is opt-in and pilot volunteers may not represent broader contributor populations. Generalization limits: results may not transfer to non-preprocessor variability mechanisms or small projects. Low event rates: configuration-related defects are rare, reducing power for defect-prediction and causal tests. Causal identifiability: endogenous or non-random rollout timing and non-parallel pre-trends may bias DiD and stepped-wedge estimates. Privacy constraints: redaction and k-anonymity/DP thresholds may remove signal and limit releaseable detail. Scalability: parsing many heterogeneous config formats and computing high-resolution telemetry joins may be compute- and IO-intensive. Inter-rater limits: manual labeling may not reach desired IAA in ambiguous cases, constraining measurement-error correction.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