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pyrobuilds_incremental_patch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Controlled chunked patching for reproducible incremental exploration of large configurable software spaces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Applying chunked, similarity-guided incremental patches with deny lists and a bounded mutation size reduces total recompute CPU-seconds for a fixed configuration exploration workload compared to full rebuilds and naive incremental builds, while producing identical final artifact hashes for matching base artifacts and patch sequences (reproducibility).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include full rebuilds, traditional incremental build systems, content-addressable caches (CAS) keyed by build inputs, program-dependency-graph (PDG) reuse, monolithic delta/patch systems, and speculative precompute. Full rebuilds are simple but always recompute everything and scale poorly. Traditional incremental builds reuse outputs only when exact inputs match and often miss cross-configuration reuse. CAS/PDG methods improve reuse by hashing inputs or tracking dependencies, but they typically store whole-task outputs and do not support composing small partial updates across many similar configurations. Monolithic patch or delta formats store entire-change deltas and thus prevent partial-artifact reuse and cheap composition. Similarity-driven sampling methods exist for selecting configurations to test, but they rarely integrate with reproducible incremental execution or patch composition. Open limitations: limited partial-artifact composition, lack of deterministic patch semantics and signatures for auditability, poor cross-domain validation of similarity metrics, and inadequate empirical evaluation of chunk granularity, patch cost vs. recompute trade-offs, and storage/verification budgets.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practical problem of exploring very large configuration spaces of highly configurable software (for example, kernel builds, compiler-flag sweeps, and parameterized ML pipelines) without paying the full recompute cost for each configuration while preserving reproducibility. We propose using controlled, reproducible incremental builds that produce composable chunked patches: small, signed subartifact updates that apply on top of a base artifact. Patch generation is guided by a configuration variation operator parameterized by deny lists (to avoid problematic options) and a mutation-size bound (to keep changes local). We combine a weighted feature-overlap similarity metric with PDG-structural overlap to select bases for reuse and to tune precompute budgets. The main contribution is a reproducible patch schema and an experimental protocol that quantifies when patching yields net savings versus full recompute, including chunk-granularity and similarity hyperparameter studies. We expect this approach to reduce aggregate CPU-seconds and wall-clock time for systematic configuration exploration while keeping artifacts auditable and reproducible via Merkle provenance and signatures.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three synthetic PDG seeds (Shallow-wide, Deep-narrow, Medium-decomposable) and three real workloads: (1) compiler-flag sweep on Clang/LLVM producing object and binary outputs, (2) Linux kernel subset built in container from Kconfig variants, (3) ML pipeline with data-prep variants and hyperparameter sweeps producing trained-model artifacts. Baselines: full rebuild, naive incremental build (task-level reuse only), PDG-only CAS (no patch composition), patch-only (monolithic patches), partial-artifact without similarity scheduling. Prototype variants: no-patch baseline, chunked-patch reuse, partial-artifact reuse, similarity-driven scheduler with precompute budget. Metrics: cache hit-rate, total saved CPU-seconds (sum of avoided task CPU), wall-clock time reduction, patch-generation latency, patch-application latency, patch size (bytes), patch-success/rollback rate, storage footprint, and verification latency. Setup: run a grid over chunk counts k∈{1,2,4,8,16,32} with a target chunk size 64–256KB when artifact size&gt;512KB; similarity hypergrid α∈{0,0.25,0.5,0.75,1.0}, regularizer λ∈{0,0.01,0.1}, threshold τ∈{0.2,0.4,0.6,0.8}; precompute budget default 20% CPU with a hard worker cap per machine. Protocol: leave-one-domain-out cross-domain CV across domains {compiler, kernel, ML, three synthetic} to select α/λ/τ; A/B sampling: 10% of runs forced full recompute to calibrate cost model; repeat each experiment configuration N=30 independent runs to capture variance; collect NDJSON event traces with Merkle references. Ablations: toggle patching on/off, disable partial-artifact reuse, vary mutation size (number of feature flips) ∈{1,5,20}, and vary sequence length ∈{1,5,20}. Analysis: compute bootstrap 95% confidence intervals with 1000 resamples for primary metrics; use paired t-test when normal, else Wilcoxon signed-rank test; report effect sizes and per-artifact-size stratified results. Reproducibility: publish container images, artifact JSON schema, sample patches, NDJSON traces, and immutable run manifests; validate verify_patch assertions for replayed runs.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Non-determinism: environment or toolchain non-determinism can make identical base+patch sequences yield different hashes, breaking reproducibility. Patch conflicts: overlapping chunk edits can be non-mergeable, forcing full recompute and reducing benefit. Storage and retention: keeping many patches and subartifacts increases storage and metadata overhead and may change eviction dynamics. Cost misestimation: incorrect patch-generation or apply-cost estimates can lead to wasted precompute and negative net savings. Verification latency: cryptographic provenance checks can add latency, especially in CI, and must be budgeted. Generalization limits: similarity metrics tuned on one domain may not transfer to others, producing poor reuse. Measurement bias: synthetic PDGs may not capture real-world change locality, biasing conclusions. Compute budget: large-scale experiments require substantial CPU and storage resources and may be limited by available infrastructure. Security and trust: signed patches require key management and trust policies not addressed here.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