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cgo_empirical_study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Bayesian empirical analysis of cgo usage and runtime overhead in open-source Go projects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cgo_intensity (more and heavier cgo usage) causes measurable increases in per-call latency, CPU cycles per call, and p99 tail latency for Go↔C transitions relative to matched pure-Go equivalents, after controlling for repo and platform effects.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has measured foreign-function interface (FFI) overhead and runtime interactions in single projects or microbenchmarks, and separate tools exist for static detection of unsafe pointer use and for sanitizer-driven dynamic checks. Existing studies are limited by narrow scope: they often use small synthetic benchmarks, cover a single platform or toolchain, or lack longitudinal and cross-repo sampling. Tooling work frequently reports static signals (imports, annotations) without precise joins to dynamic runtime data (latencies, GC/scheduler traces) and rarely provides reproducible, containerized provenance for each run. As a result, previous methods do not jointly quantify distributional patterns of FFI use across many repositories, do not pre-register composite intensity metrics with sensitivity analyses, and do not employ within-repo paired contrasts (e.g., CGO_ENABLED toggles or pre/post commits) to strengthen causal claims.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how cgo — Go's foreign-function interface for calling C — is used across open-source Go projects and quantify its runtime and correctness costs. We build an automated pipeline (static detector + microbenchmark harness + sanitizer integration) that computes a normalized cgo_intensity metric per repo and links static call-site profiles to dynamic measurements. We run a stratified, commit-sampled corpus (pilot: 10 repos; full: 60–120) across multiple platforms, execute a canonical microbenchmark suite (empty roundtrips, marshaling variants, batching, callbacks, blocking calls, fork/exec), and collect latency, CPU cycles, syscall, and memory/GC metrics. Analysis uses a Bayesian hierarchical mixed-effects model to estimate cgo-induced overhead while controlling for repo and platform. Expected outcomes: an empirical map of cgo distribution and purposes, quantified performance and correctness signals tied to call-site patterns, and sensitivity-tested intensity definitions to guide reproducible recommendations for developers and the Go team.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 corpus of 10 diverse open-source Go repos (HEAD + 2 commits evenly spaced over 12 months) and full corpus target of 60–120 repos with stratification by domain, popularity, and cgo_intensity buckets. Platforms: linux/glibc amd64, linux/glibc arm64, macOS arm64 (when available); container images pinned with digests. Baselines: (A) pure-Go stub implementations (hand-written or automated) that replace cgo call sites, (B) same-commit builds with CGO_ENABLED=0 when buildable, and (C) many-call vs batched-call variants. Microbenchmarks: empty Go→C no-op, empty C→Go no-op, marshaling tests (strings, slices, large structs, pre-allocated buffers), 1e6 tiny calls vs single batched call, callback stress (C→Go repeated calls), blocking C calls (sleep/block), fork-without-exec test. Instrumentation: runtime/trace, perf PMU cycles, strace for syscall counts, sanitizer outputs (ASAN/UBSAN), and runtime GC stats; outputs as versioned JSON with provenance fields and call_site_id linking static/dynamic data. Protocol: randomized run order, 5 warmups, 50 measured repeats (adjustable after pilot), CPU frequency pinned, isolated nodes; rerun failed/noisy runs up to 3 times. Evaluation metrics: median, p50, p90, p99 latencies (microseconds), cycles/op, ops/sec (throughput), syscalls/op, RSS/heap/stack sizes, GC pause p50/p90, sanitizer/error flag counts, binary size, build time. Statistical analysis: Bayesian hierarchical model: log(latency) ~ fixed effects (cgo_intensity, domain, call_frequency, arch) + random intercepts for repo and platform + random slopes for cgo_intensity by repo; likelihood: log-normal for latency, negative-binomial for count outcomes. Pre-registered priors: fixed-effect coefficients Normal(0,1) on standardized predictors; group SDs HalfNormal(0,1); residual SD HalfNormal(0.5); sensitivity to priors reported. Ablations: (1) sensitivity across three cgo_intensity weight sets (default, conservative, aggressive), (2) effect of batching vs many small calls, (3) CGO_ENABLED toggle vs pure-Go stub, (4) sanitizer on vs off. Validation: holdout repos (10% of corpus) and time-based pre/post commit contrasts for out-of-sample checks. Decision gate: proceed to full study if pilot yields build success ≥80%, static detector FP rate ≤20% on audited repos, and pilot-based simulation shows 80% power to detect a 5–10% median latency change under the hierarchical variance estimates. Reproducibility: every run must publish container_image_digest, one-line rehydrate command, go env -json, CC/LD flags, build command, and artifact checksums.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Build failures: many repos may not build hermetically with CGO_ENABLED toggles or on target platforms, causing selection bias toward buildable projects. Detector errors: static detector may produce false positives/negatives (pointer-rule detection limits), affecting intensity and risk counts. Sanitizer coverage: ASAN/UBSAN require C builds with clang and may yield platform-specific gaps; false negatives are possible. Measurement noise: latency and GC/scheduler metrics have high variance across hosts and require strict isolation; residual noise may reduce power. Generalization: results apply to sampled open-source repos and pinned toolchains; closed-source or other Go versions may differ. Compute and storage: cross-platform instrumented runs with perf and sanitizers are resource intensive and may limit corpus size. Causal limits: paired within-repo contrasts are possible only when CGO can be toggled or when pre/post cgo changes exist; otherwise confounding remains. Privacy and legal: storing third-party artifacts and logs may raise license or data retention constraints. Time and maintenance: pinned images and cross-toolchain support require ongoing maintenance as toolchains and OSes evolve.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