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agentarceval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AgentArcEval: a scenario-driven evaluation method for architectures of foundation-model-based agents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the AgentArcEval method to compare two foundation-model agent architectures will produce a statistically significant difference (p &lt; 0.05) in the pre-registered primary metric (task success rate or safety incident rate) when the true architecture effect size is at least an absolute 0.05, with at least 80% power using pilot-derived variance to set sample size.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evaluation work for large language models and agent systems focuses on model-level benchmarks, end-to-end task suites, or tool-use evaluations. Prior approaches commonly measure single-run task accuracy, API-level latency, or calibration for static models, and some produce replay logs for debugging. Limitations of current methods include: (1) inadequate attention to compound agent architectures composed of interfaces and modules, (2) weak handling of nondeterminism and evolving checkpoints, (3) lack of standardized per-interface bandwidth/latency and allowed-action semantics, (4) limited provenance and replayability guarantees for long-horizon traces, and (5) sparse integration of safety, human-in-the-loop adjudication, and reproducibility manifests in a single, CI-gated pipeline. These gaps make cross-architecture comparisons confounded by interface differences, hidden nondeterminism, and inconsistent traceability.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AgentArcEval, an evaluation method tailored to compare architectures of agents built from foundation models. The problem addressed is how to measure architecture-level differences when agents are compound systems with interfaces, nondeterministic behavior, external tools, and evolving checkpoints. AgentArcEval introduces: (1) a minimal CoreContract and per-interface Iij schema to standardize messages, bandwidth, latency, and allowed actions; (2) append-only, hash-indexed traces for provenance and replay; (3) a catalogue of architecture-focused, scenario-driven micro-benchmarks including planner, executor, memory, tool-adapter, and verifier tests; and (4) a pre-registered metric suite with statistical rules and human-in-the-loop safety sampling. The main contribution is a reproducible, CI-enforced protocol that jointly measures task performance, safety incidents, calibration, and traceability to enable fair cross-architecture ablations. Expected outcome: clear, testable comparisons of modular versus monolithic agent designs, demonstrable replayability of decision traces, and quantified safety trade-offs under controlled nondeterminism and noise.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Synthetic long-horizon episodic scenarios with session IDs, checkpoints, and controlled noise variants (memory dropouts at 5/10/20%, corrupted entries, adversarial goal injections, shuffled context); (B) Real-world seed sets from reasoning, coding, and dialogue tasks with versioned splits. Baselines: two exemplar architectures: D = Planner–Executor modular; C = Chain-of-Thought monolithic. Ablations: verifier on/off, memory persistence on/off, bandwidth limits {unlimited, 1000, 200 tokens/sec}, latency jitter {0ms, 100ms, 500ms}, memory dropout levels, tool nondeterminism seeds. Metrics: primary = task success rate (pre-registered); secondary = planner optimality (normalized cost), execution fidelity (correct tool calls fraction), verifier-effectiveness (reproducibility rate within time bound), safety incident rate (severity-weighted), calibration (ECE/Brier), efficiency (tokens-per-success), long-horizon AUDC for coherence, traceability_score (0-1). Statistical plan: pre-register primary contrast (D vs C). Power: pilot variance to set N targeting 80% power for Δ=0.05; initial N=150 trials per architecture per task family as starting point. Tests: Clopper–Pearson CIs for binomial rates; McNemar for paired binary comparisons; bootstrap for means and composite scores; mixed-effects models (fixed: architecture; random: task, seed) for ablations; permutation tests for small samples; Benjamini–Hochberg FDR for exploratory tests. Setup and reproducibility: orchestrator enforces CoreContract/Iij, canonical tokenizer for token counts, container and checkpoint hashes recorded, deterministic RNG mode option, append-only JSONL traces with per-message SHA256 digests and Merkle-chunk indices. Paired runs use matched seeds; run replayability checks and CI gating based on nondeterminism tolerances. Human adjudication: automated detectors triage incidents; sample for HITL = max(200 incidents, 5% of incidents) capped at 500, stratified by severity and language for cross-language adjudication. Success criteria: pre-registered metric contrasts meet statistical thresholds and traceability_score &gt;= pass threshold.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high nondeterminism from models or external tools can break replayability and inflate variance. Data and evaluation biases: synthetic scenarios may not reflect real-world distributions; seeded adversarial prompts can overfit architectural defenses. Scalability and compute: repeated paired runs, long-horizon traces, and replay tests require large compute and storage. Human adjudication limits: HITL budget constraints may under-sample rare but severe incidents and cross-language adjudication increases cost and complexity. Metric limitations: composite scores may hide trade-offs between safety and task success; severity weighting is subjective. Reproducibility dependencies: reliance on exact container images and checkpoint accessibility can block replication if artifacts are proprietary or removed. Generalization limits: results on two exemplar architectures may not extend to all agent designs or modalities (e.g., multimodal agents) and may be sensitive to chosen benchmark families.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