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refa_devops_compliance</w:t>
      </w:r>
    </w:p>
    <w:p>
      <w:r>
        <w:t xml:space="preserve"> </w:t>
      </w:r>
    </w:p>
    <w:p>
      <w:pPr>
        <w:pStyle w:val="Heading2"/>
      </w:pPr>
      <w:r>
        <w:t>Title</w:t>
      </w:r>
    </w:p>
    <w:p>
      <w:r>
        <w:t>A Bayesian hierarchical interrupted time-series evaluation of REFA interventions to align DevOps practices with IEC 62443-4-1 security compliance</w:t>
      </w:r>
    </w:p>
    <w:p>
      <w:r>
        <w:t xml:space="preserve"> </w:t>
      </w:r>
    </w:p>
    <w:p>
      <w:pPr>
        <w:pStyle w:val="Heading2"/>
      </w:pPr>
      <w:r>
        <w:t>Short Hypothesis</w:t>
      </w:r>
    </w:p>
    <w:p>
      <w:r>
        <w:t>Deploying the REFA prescriptive DevOps lifecycle causes a sustained increase in automated compliance adherence (policy-as-code coverage and gate pass rates) and a reduction in audit findings within participating sites compared to their pre-intervention baselines.</w:t>
      </w:r>
    </w:p>
    <w:p>
      <w:r>
        <w:t xml:space="preserve"> </w:t>
      </w:r>
    </w:p>
    <w:p>
      <w:pPr>
        <w:pStyle w:val="Heading2"/>
      </w:pPr>
      <w:r>
        <w:t>Related Work</w:t>
      </w:r>
    </w:p>
    <w:p>
      <w:r>
        <w:t>Existing approaches focus on point solutions: policy-as-code libraries, CI/CD gates, manual audit-prep processes, and single-organization case studies of DevSecOps adoption. Empirical studies typically report cross-sectional or short-term before/after comparisons and rely on aggregate audit anecdotes. Causal evaluations of organizational security interventions are rare; staggered rollout designs and stepped-wedge trials are used in other domains but seldom applied to DevOps compliance. Telemetry work provides logging and observability templates but lacks standardized, privacy-preserving linkage schemas for compliance research. Socio-technical studies document cultural and governance barriers but often use small qualitative samples without integration into longitudinal, causal models. Limitations across prior work include weak causal identification (no pooled hierarchical time-series), sparse measurement of time-varying mediators (ownership, governance, incentives), lack of joint quantitative–qualitative timelines, and inadequate de-identification practices for audit linkage.</w:t>
      </w:r>
    </w:p>
    <w:p>
      <w:r>
        <w:t xml:space="preserve"> </w:t>
      </w:r>
    </w:p>
    <w:p>
      <w:pPr>
        <w:pStyle w:val="Heading2"/>
      </w:pPr>
      <w:r>
        <w:t>Abstract</w:t>
      </w:r>
    </w:p>
    <w:p>
      <w:r>
        <w:t>Organizations struggle to embed continuous security compliance into DevOps pipelines while meeting formal standards such as IEC 62443-4-1. This project evaluates REFA, a prescriptive DevOps lifecycle tailored for security compliance, using a mixed-method, longitudinal causal design. We will measure automated telemetry (policy-as-code coverage, CI gate outcomes, artifact traces) and socio-technical mediators (ownership clarity, governance cadence, incentive alignment) across a staggered stepped-wedge rollout. The core analysis uses a Bayesian hierarchical interrupted time-series model to estimate site-specific level and slope changes and a joint Bayesian measurement–mediation layer to quantify indirect effects through socio-technical mediators. The main contribution is a reproducible protocol that links instrumented pipeline evidence to audit outcomes while preserving privacy via salted deterministic pseudonyms. Expected outcomes are rigorously estimated causal effects of REFA on continuous compliance metrics, identification of mediating organizational mechanisms, and practical instrumentation and telemetry schemas suitable for practitioners and auditors.</w:t>
      </w:r>
    </w:p>
    <w:p>
      <w:r>
        <w:t xml:space="preserve"> </w:t>
      </w:r>
    </w:p>
    <w:p>
      <w:pPr>
        <w:pStyle w:val="Heading2"/>
      </w:pPr>
      <w:r>
        <w:t>Experiments</w:t>
      </w:r>
    </w:p>
    <w:p>
      <w:r>
        <w:t>Datasets: (1) Pilot telemetry from 2 sites (6 months) and full telemetry from 6–12 sites (12–36 months) aggregated quarterly; telemetry fields include salted org_pseudonym, project_pseudonym, pipeline_run_id, truncated commit_sha, policy_id/version, gate_result, timestamp, environment, remediation_id, and audit_id; (2) artifact counts (policy-as-code coverage %, documented owners); (3) quarterly mediator surveys and interview-derived indicators; (4) external audit reports (redacted counts and severities). Baselines: within-site pre-intervention trends, difference-in-differences with staggered-treatment correction, synthetic control for selected sites, and no-intervention historical baselines. Metrics: primary: policy-as-code coverage (%), gate pass rate (%), count and severity of audit findings (counts, ordinal severity); secondary: lead time (time from commit to deploy), deployment frequency, mean time to remediation (MTTR). Models and setup: aggregate events quarterly; fit Bayesian hierarchical interrupted time-series (ITS) with site random intercepts and random slopes for time and time-since-intervention; use AR(1) residuals by default (AR(1) means each residual correlates with previous quarter), compare AR(2) and local-level state-space models (state-space models track a latent trend over time) using prior predictive checks and LOO-CV; use negative-binomial likelihood for count outcomes and log-normal for continuous metrics. Mediation and measurement: specify a Bayesian confirmatory factor model for mediators (latent variables measured by survey items and artifact indicators) and jointly estimate hierarchical dynamic mediation in Stan/brms, computing natural direct and indirect effects from posterior draws. Ablations/comparisons: (A) full model vs model without latent dynamic factor for shared shocks; (B) AR(1) vs AR(2) vs local-level state-space; (C) mediation included vs mediation omitted; (D) mediation measured as observed composite vs latent CFA. Heterogeneity discovery: run causal forests and BART as exploratory tools to flag interactions, then validate suggested interactions in partially pooled Bayesian subgroup models. Evaluation: report posterior credible intervals, posterior predictive checks, LOO-CV scores, ICC estimates, simulation-based calibration, and concordance against audit reports (sensitivity, specificity, positive predictive value, Cohen's kappa).</w:t>
      </w:r>
    </w:p>
    <w:p>
      <w:r>
        <w:t xml:space="preserve"> </w:t>
      </w:r>
    </w:p>
    <w:p>
      <w:pPr>
        <w:pStyle w:val="Heading2"/>
      </w:pPr>
      <w:r>
        <w:t>Risk Factors And Limitations</w:t>
      </w:r>
    </w:p>
    <w:p>
      <w:r>
        <w:t>Confounding: unmeasured time-varying confounders may bias causal estimates despite latent factors and lagged covariates. Measurement error: mediator surveys and artifact indicators are noisy and may weaken mediation inferences. Small-N limits: with only 6–12 sites, between-site variance estimation and heterogeneity detection have low power. Selection bias: participating sites may be non-representative (early adopters). Operational risk: interventions in production pipelines may cause outages or be rolled back, truncating treatment exposure. Privacy and legal limits: linking telemetry to audit outcomes may be restricted by NDAs or GDPR, reducing validation data. Model complexity and compute: hierarchical dynamic Bayesian models with mediation are computationally heavy and may be slow to converge. External validity: results tied to IEC 62443 and critical-infrastructure contexts may not generalize to all sectors or to other security standards. Automated signal vs audit gap: telemetry-derived compliance signals may not perfectly match formal audit findings, limiting concordance analyses.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