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moma_ac_td3_gnn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preference-conditioned actor-critic framework for continuous multi-objective multi-agent reinforcement learning with multi-headed actors and centralized GNN critics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multi-headed deterministic actors and a centralized vector-valued critic on preference vectors w and training with TD3 plus a learned-edge GNN critic causes single-policy agents to approximate Pareto-optimal trade-offs more accurately, resulting in higher dominated hypervolume and stronger preference alignment (higher Kendall's tau) than agents trained without preference conditioning or with non-learned critic graph structures.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 multi-objective RL (MORL) typically either learns separate policies per scalarization or uses scalarized single-objective losses; common scalarizers include linear and Chebyshev formulations, which can bias coverage of the Pareto front. Preference-conditioned policies have been proposed to encode multiple trade-offs in one policy, but prior methods focus mostly on single-agent or discrete-action settings. In multi-agent RL, centralized training with decentralized execution (CTDE) and centralized critics improve stability, and graph neural network (GNN) critics have been used to model agent interactions, but learned-edge attention and preference-aware edges are underexplored. Off-policy algorithms for continuous control (DDPG, TD3, SAC) provide backbones, yet combining multi-objective vector critics with two-timescale actor updates raises stability and off-policy coverage issues. Open gaps include: lack of methods that (1) represent Pareto fronts within a single continuous-action, multi-agent policy per agent, (2) integrate learned GNN critics with preference conditioning, and (3) provide per-preference (per-w) replay and concentrability diagnostics for robust off-policy learning.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continuous multi-objective multi-agent reinforcement learning, where each agent must trade off multiple, possibly conflicting objectives and a single neural policy should represent different trade-offs. We propose a framework that conditions multi-headed actor networks and a centralized, vector-valued critic on preference vectors w so one agent policy can encode a Pareto front of behaviors. The critic can be implemented as a graph neural network (GNN) with learned edges to capture inter-agent coupling; the backbone uses TD3 (twin critics, delayed actor updates) for stability. Main contributions: a preference-conditioned actor-critic architecture that represents Pareto-optimal trade-offs in single policies, a learned-edge GNN critic variant for scalable coordination, and a per-preference replay and diagnostics suite for off-policy coverage (concentrability) and alignment. Expected outcome: more efficient Pareto front coverage, improved preference alignment, and reproducible diagnostics that identify off-policy failure modes in continuous multi-agent MORL. Technical terms: Pareto front means the set of undominated trade-offs; concentrability is a measure of how well replay data covers on-policy distributions.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(1) 2-agent continuous particle environment with two objectives; (2) 5-agent and 10-agent resource-allocation / energy-safety continuous control tasks. Baselines: (A) no preference-conditioning (separate policies per w), (B) preference-conditioned with flat centralized critic, (C) preference-conditioned with GNN critic using kNN edges, (D) preference-conditioned with learned-edge GNN but without sparsity regularizer, (E) backbone ablation TD3 vs SAC, (F) scalarizer ablations: linear, weighted Chebyshev, monotone non-negative MLP plus isotonic post-processing, ICNN. Implementations: default two-timescale hyperparameters critic LR=3e-4, actor LR=6e-5, Polyak tau=0.005, actor delay=2; replay format includes per-transition w and priority. Evaluation metrics: dominated hypervolume, Kendall's tau between scalarized Q and w (preference alignment), per-agent Pareto gap, regret, coverage (fraction of Pareto front reached), policy diversity, seed variance (std across seeds), communication bandwidth. Per-w diagnostics: visitation histogram over discretized w, ESS_w, mean/std absolute TD error per-w, concentrability estimates (count ratio and KDE-based), per-w hypervolume contribution. Experimental setup: preliminary runs 5 seeds, final decisive experiments 10 seeds; run scaling tests 2-&gt;5-&gt;10 agents with fixed model capacity; ablation study comparing learned-edge GNN vs kNN vs flat critic while holding scalarizer fixed; compare scalarizers holding critic fixed. Off-policy tests: run with PER keyed by w and trigger V-trace when ESS_w&lt;200 or estimated C_w&gt;50; report sample-efficiency curves (hypervolume vs environment steps) and wall-clock time. Statistical analysis: report mean and 95% confidence intervals across seeds and use paired tests to compare hypervolume and Kendall's tau between variants.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Off-policy bias and insufficient coverage: replay may not cover all preference-conditioned state-action distributions, causing biased critics; concentrability estimates can be noisy. Scalability limits: centralized vector critics and learned-edge GNNs increase compute and memory as agents grow; communication budgets may constrain learned-edge benefits. Stability and sensitivity: two-timescale training and scalarizer parametrization are sensitive to hyperparameters and can cause divergence or mode collapse. Theoretical limits: convergence guarantees hold in linear or local-linear regimes; deep critics only offer local stationarity. Generalization limits: learned single-policy representations may not generalize to unseen preferences far from training w samples. Evaluation biases: dominated hypervolume can hide uneven agent-level trade-offs; Kendall's tau depends on scalarizer choice. Compute and reproducibility: extensive ablations and multi-seed runs require significant compute; reproducibility demands strict seed and config management.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