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frequency_filtered_metadescriptor</w:t>
      </w:r>
    </w:p>
    <w:p>
      <w:r>
        <w:t xml:space="preserve"> </w:t>
      </w:r>
    </w:p>
    <w:p>
      <w:pPr>
        <w:pStyle w:val="Heading2"/>
      </w:pPr>
      <w:r>
        <w:t>Title</w:t>
      </w:r>
    </w:p>
    <w:p>
      <w:r>
        <w:t>Variance-filtered frequency metadescriptors for identifying and grouping concepts in nonstationary data streams</w:t>
      </w:r>
    </w:p>
    <w:p>
      <w:r>
        <w:t xml:space="preserve"> </w:t>
      </w:r>
    </w:p>
    <w:p>
      <w:pPr>
        <w:pStyle w:val="Heading2"/>
      </w:pPr>
      <w:r>
        <w:t>Short Hypothesis</w:t>
      </w:r>
    </w:p>
    <w:p>
      <w:r>
        <w:t>Filtering frequency-domain components of sample feature vectors by their variance across streaming data batches produces low-dimensional metadescriptors that improve concept clustering accuracy and concept identification F1 by at least 20% compared to clustering on raw features or unfiltered frequency features under matched latency constraints.</w:t>
      </w:r>
    </w:p>
    <w:p>
      <w:r>
        <w:t xml:space="preserve"> </w:t>
      </w:r>
    </w:p>
    <w:p>
      <w:pPr>
        <w:pStyle w:val="Heading2"/>
      </w:pPr>
      <w:r>
        <w:t>Related Work</w:t>
      </w:r>
    </w:p>
    <w:p>
      <w:r>
        <w:t>Time-frequency analysis methods (short-time Fourier transform, wavelets, synchrosqueezing) extract local spectral content but typically use fixed windows or heuristic adaptation and produce high-dimensional descriptors. Multitaper (DPSS) methods reduce spectral leakage and provide analytical variance estimates, yet are seldom integrated into streaming concept-drift workflows. Concept-drift and drift-detection literature focuses on change detection in feature or label space but often uses raw or learned features without explicit frequency-domain selection. Metalearning and streaming representation learning produce adaptive embeddings but can be data hungry and opaque. Streaming clustering methods and online trackers (Kalman, particle filters) provide temporal continuity but do not systematically select informative frequency components across batches. Limitations across these areas include: (1) lack of a simple, batch-variance-driven filter for frequency components; (2) limited mapping of frequency-domain summaries back to spatial/feature domain for visualization; (3) few reproducible streaming stacks combining DPSS, reassignment/SST, and downstream clustering with UQ guarantees; (4) inadequate ablations on DPSS precompute vs interpolation and on how frequency selection affects downstream concept grouping.</w:t>
      </w:r>
    </w:p>
    <w:p>
      <w:r>
        <w:t xml:space="preserve"> </w:t>
      </w:r>
    </w:p>
    <w:p>
      <w:pPr>
        <w:pStyle w:val="Heading2"/>
      </w:pPr>
      <w:r>
        <w:t>Abstract</w:t>
      </w:r>
    </w:p>
    <w:p>
      <w:r>
        <w:t>We address the problem of characterizing and grouping concepts in nonstationary data streams by operating in the frequency domain. We introduce a frequency-filtering metadescriptor: for each sample feature vector, we compute a short-time frequency representation, select frequency components whose variance across recent data batches is informative, and aggregate the selected components into a compact metadescription. The method uses precomputed multitaper (DPSS) windows to reduce leakage and produces per-component analytic variance estimates, enabling principled selection and uncertainty-aware ridge tracking. Main contributions are (1) a variance-filtering rule for frequency-component selection that yields low-dimensional, semantically meaningful metadescriptors, (2) a streaming pipeline combining DPSS-based spectral estimation, variance filtering, and online clustering/trackers, and (3) an inverse mapping for visualizing selected frequency content in the original spatial domain. Expected outcomes are improved concept clustering and identification under drift, reduced descriptor dimensionality, preserved interpretability for domain experts, and reproducible streaming experiments with latency and UQ reporting.</w:t>
      </w:r>
    </w:p>
    <w:p>
      <w:r>
        <w:t xml:space="preserve"> </w:t>
      </w:r>
    </w:p>
    <w:p>
      <w:pPr>
        <w:pStyle w:val="Heading2"/>
      </w:pPr>
      <w:r>
        <w:t>Experiments</w:t>
      </w:r>
    </w:p>
    <w:p>
      <w:r>
        <w:t>Datasets: (A) Synthetic streaming signals: multi-component chirps with controlled instantaneous-frequency (IF) slopes, crossing events, abrupt jumps, and SNR sweep; (B) Tabular streaming benchmarks with simulated concept drift (feature shifts and label-noise); (C) Neurophysiology: curated EEG/LFP segments with annotated spindles and epileptiform transients; (D) Machinery vibration recordings with annotated faults. Baselines: (1) clustering on raw features (k-means, spectral clustering); (2) PCA/ICA reduced features; (3) frequency features using STFT or wavelets without variance filtering; (4) learned embeddings (streaming autoencoder) and standard drift detectors (ADWIN/DDM) combined with same clustering; (5) full pipeline ablations (see below). Evaluation metrics: Adjusted Rand Index (ARI) and clustering F1 for concept grouping; concept detection precision/recall and F1; IF RMSE for signal datasets; dimensionality reduction ratio; per-ridge UQ calibration (empirical 95% CI coverage and reliability diagrams); latency P50/P99 and throughput (frames/s); DPSS memory footprint and precompute time. Experimental setup: deterministic seeds and manifest across runs; containerized experiments with pinned libraries; streaming simulation with batch sizes {64,128,256} and overlap settings; parameter grid sweep over L ∈ {64,128,256,512}, NW ∈ {2,3,4}, K ∈ {1..7}; DPSS precompute vs interpolation comparison. Ablation study: (A1) full method; (A2) remove variance-filtering (select top energy components instead); (A3) remove frequency selection (use all freq bins then PCA); (A4) disable inverse spatial mapping; (A5) analytic UQ only vs analytic+learned Bayesian UQ. Reporting: mean±std over 10 seeds, paired statistical tests (Wilcoxon signed-rank) comparing ARI and F1 to baselines. Additional experiments: tracker-switch ROC grid: vary innovation z thresholds {2,2.5,3,3.5}, ESS ratios {0.3,0.5,0.7}, concentration-drop thresholds {20%,30%,40%}, and dwell windows {25,50,100} ms; report false-switch and missed-escalation rates and choose operating point on ROC tradeoff.</w:t>
      </w:r>
    </w:p>
    <w:p>
      <w:r>
        <w:t xml:space="preserve"> </w:t>
      </w:r>
    </w:p>
    <w:p>
      <w:pPr>
        <w:pStyle w:val="Heading2"/>
      </w:pPr>
      <w:r>
        <w:t>Risk Factors And Limitations</w:t>
      </w:r>
    </w:p>
    <w:p>
      <w:r>
        <w:t>Technical failure modes: low SNR or weak spectral separation may make variance-based selection unstable and degrade clustering; rapid regime changes with small batch sizes can bias variance estimates and cause missed selection. Data and evaluation biases: synthetic generators may not capture real-world nonstationarity, and annotated real datasets may have label noise or limited events. Scalability and compute limits: DPSS precompute memory for large grids can be high; particle trackers and learned Bayesian components can breach latency SLAs under high particle counts or large models. Generalization limits: frequency-domain selection may not capture useful spatial dependencies in some tabular domains; inverse mapping to spatial domain may be ambiguous when many features share broad spectral content. Determinism limits: numerical differences across CPU/GPU/FPGA and library versions can create small numeric drifts affecting reproducibility. Dependency on parameter choices: performance depends on batch size, beta, L/NW/K grid and variance thresholds, which may require domain-specific tuning.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