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mind_the_jumps_rlgp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Robust local Gaussian process with perspective transformation for multidimensional response surfaces with discontinuities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a multivariate perspective transformation together with adaptive nearest-neighbor local Gaussian processes and sparsity-driven mean-shift robustification improves boundary recovery (lower Hausdorff distance) and local uncertainty calibration (coverage within 5% of nominal) on discontinuous, nonstationary response surfaces compared to standard global GPs, fixed-local GPs, and mixture/treed GP baselines under the same sampling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include: global Gaussian processes (GPs) that assume stationarity (same smoothness everywhere) and thus smooth over jumps; nonstationary GP variants and mixture-of-experts or treed GP models that partition the space but often require costly inference or produce smoothed boundaries; local GP and nearest-neighbor GP methods that scale better but typically use fixed neighborhoods and can blur discontinuities; sparse and structured kernel interpolation (SKI/KISS-GP) methods that address scalability but do not by themselves prevent jump smoothing; robust estimators (e.g., Student-t likelihood, mean-shift methods) that handle outliers but not structured regime changes; and change-point / boundary detection techniques that find boundaries but are rarely integrated with scalable GP uncertainty propagation. Limitations: (1) tendency to smooth across abrupt jumps, harming boundary localization and local calibration; (2) poor robustness to mixtures of outliers and true regime shifts; (3) scalability or inference complexity when jointly estimating partitions and region GPs; (4) lack of operational diagnostics and sample-complexity guidance for partition recovery in moderate-to-high dimensions.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modeling multidimensional response surfaces that are nonstationary and contain abrupt jumps and outliers. We introduce a robust local Gaussian process framework (rlgp) that combines three elements: (1) a multivariate perspective transformation (a rescaling of inputs/outputs that highlights jump directions), (2) adaptive nearest-neighbor selection for local Gaussian processes (train small GPs on nearby points), and (3) a sparsity-driven, optimization-based mean-shift robustification (a sparse vector of additive offsets that captures outliers and jump-induced biases). rlgp fits overlapping local GPs on scalable SKI-style inducing grids, learns a probabilistic boundary classifier with temperature annealing to preserve sharp jumps, and imposes a soft prior on minimum jump magnitudes to avoid spurious tiny jumps. The main contributions are a unified, scalable pipeline that preserves discontinuities while producing calibrated uncertainty near boundaries; a post-transformation sparsity robustification that separates outliers from regime shifts; and a set of finite-sample diagnostics and rules-of-thumb for partition recovery. We expect rlgp to yield improved boundary localization, better predictive accuracy, and more reliable local uncertainty compared to prior GP and segmentation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suite: X in [0,1]^D with D in {1,2,5,10}; number of regions K in {2,3,5}; minimum jump magnitudes Δ0 ∈ {0.1,0.5,1.0} (relative to output range); minimum region radius r0 ∈ {0.05,0.1,0.2}; boundary geometry in {polygonal, C1, C2}; noise models: Gaussian (σ varying), Student-t with ν in {3,5}, and outlier mixtures with 1–5% gross errors. Sample sizes n ∈ {500,2000,10000}. Repeat each condition with 30 random seeds. (B) Real-world examples: robotics contact force-displacement traces (discontinuous contact events) and a geospatial radiance dataset with cloud/clear boundaries (both preprocessed to low-dimensional inputs where discontinuities are present). Baselines: global stationary GP, global GP with Student-t noise, fixed-k local GP (fixed k nearest neighbors), mixture-of-experts GP (moe), treed GP, SKI-GP without boundary modeling, and a robust GP with mean-shift but without perspective transformation. Metrics: region-wise RMSE, global RMSE, Hausdorff distance between estimated and true boundaries, jump precision/recall/F1 for jumps with Δ ≥ Δ0, PIT histograms stratified by distance-to-boundary, empirical coverage by distance-to-boundary, weighted negative log-likelihood (wNLL) and weighted CRPS with boundary-uncertainty weights, runtime and peak memory. Hyperparameter selection: boundary-weighted cross-validation (grid search) and boundary-prior calibration via prior predictive checks. Experimental setup: for each synthetic condition run full training with rlgp and each baseline; perform MCMC verification on a subset (subsample n in {500,2000}, 4 chains, 1000 warmup, 2000 post-warmup samples) to assess calibration. Ablations: remove perspective transformation, remove mean-shift robustification, replace adaptive neighborhood with fixed kNN, vary overlap width w in {1.5·ℓ_local, 2·h, r0/2}, and compare annealing schedules (T0 and decay rates). Active sampling study: fixed budget sequential acquisition with a(x)=λ_t·Entropy(π(x)) + (1−λ_t)·V_gp(x); evaluate final metrics under budgets n_total ∈ {1000,5000} and report sample allocation statistics. Acceptance criteria: statistically significant improvement in Hausdorff distance and boundary-local calibration against the strongest baseline (paired tests across seeds, p &lt; 0.05).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boundary complexity exceeding metric-entropy assumptions causes partition non-identifiability and poor recovery; (2) annealing and alternating updates can produce label flipping or unstable partitions if temperature or MAP frequency is mis-set; (3) mean-shift optimization may conflate dense outliers with small true jumps if Δ_min prior is miscalibrated. Data and evaluation biases: over-reliance on synthetic benchmarks may not capture all real-world boundary geometries; real datasets may lack ground-truth partitions for precise Hausdorff evaluation. Scalability and compute limits: SKI grids and per-tile inducing points require memory that grows with ambient dimension and small local lengthscales; D ≥ 10 can cause exponential growth in local sample needs (curse of dimensionality). Limits to generalization: method assumes finite K regions and a positive minimum jump Δ0; very smooth, high-frequency boundary structure or infinitely many tiny regions violate identifiability. Diagnostics themselves (e.g., empirical covering β̂) have high variance and can mislead regularizer tuning if not interpreted cautiously.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