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simulation_to_experiment_ssl_da_concrete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self-supervised domain adaptation framework that transfers physics-driven synthetic coda-wave and multi-modal simulation data to unlabeled experimental measurements for concrete damage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Pretraining a multi-modal encoder on physics-based synthetic coda-wave, imaging, and displacement data and then adapting it to unlabeled experimental specimens using domain adversarial training, minimum class confusion loss, and BYOL-informed pseudo-labeling reduces absolute classification error on experimental concrete damage cases by at least 2% compared to models trained only on synthetic 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combines physics-based simulation and data-driven models, domain adaptation, and self-supervised learning to address limited real labels. Physics-grounded simulation approaches generate realistic synthetic sensor outputs but often fail to capture calibrated sensor noise and multi-fidelity discrepancies, causing a simulation-to-real domain gap. Domain adaptation methods (adversarial alignment, feature matching) reduce distribution mismatch but can collapse physical structure in latent space and lack physics-consistency checks. Self-supervised methods (contrastive and BYOL-style) learn robust embeddings but typically assume simple augmentations that do not reflect sensor-specific distortions and temporal AE signatures. Uncertainty-aware techniques exist for posterior calibration but are rarely integrated end-to-end with simulation fidelity selection or active high-fidelity run allocation. Limitations: (1) insufficient multi-modal realism and calibrated noise, (2) weak enforcement of physics-consistency in latent representations, (3) limited uncertainty propagation from FE priors to SSL training, and (4) sparse, ad-hoc evaluation metrics for AE/ultrasonic temporal alignment.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transferring damage-classification knowledge from labeled physics-driven simulations to unlabeled experimental concrete tests. We propose a self-supervised domain adaptation framework that (1) pretrains a shared multi-modal encoder on large-scale synthetic coda-wave, imaging, thermography, and DIC-like displacement data generated by a virtual testing platform, and (2) adapts to real unlabeled measurements using domain adversarial training, minimum class confusion loss (MCC), and BYOL-style consistency with a mean-teacher pseudo-labeling loop. The method also includes physics-consistency decoder heads that reconstruct crack centerlines, AE event timing, and displacement topology to anchor embeddings to interpretable physical quantities. We integrate calibrated sensor noise models, multi-fidelity sampling, and uncertainty bookkeeping from FE posterior draws to inform pseudo-label confidence and active selection of high-fidelity runs. The main contribution is an operational pipeline that couples simulation fidelity, physics-grounded losses, and uncertainty-aware self-training to reduce reliance on experimental labels while preserving interpretable damage readouts. Expected outcome: statistically significant reduction in task-transfer gap and better-calibrated predictive intervals on real concrete damage classification tasks.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medium-fidelity corpus: initial 500 multi-modal cases (RGB, thermal, stereo/depth, DIC-style displacement fields, AE/ultrasonic traces, LVDT/strain) with annotations; expand to target ~45k medium + ~5k high-fidelity examples. (2) Real calibration specimens: 3–5 specimens per damage case (notch bending, corrosion-induced spall, fatigue cracking) producing synchronized multi-modal unlabeled streams; hold out 1 specimen per case for evaluation. Baselines: (A) synthetic-only supervised classifier (no adaptation), (B) domain-adversarial adaptation (DANN) on synthetic → real, (C) BYOL-only SSL pretrain then supervised fine-tune on synthetic, (D) mean-teacher pseudo-labeling without physics-consistency decoders, (E) oracle supervised model trained on labeled real data (upper bound). Proposed method: SSL pretrain on synthetic (InfoNCE + masked reconstructions), Stage1 adversarial + MCC alignment, Stage2 mean-teacher pseudo-label self-training with BYOL consistency and physics-consistency decoders. Evaluation metrics: classification accuracy and task-transfer gap (synthetic→real drop), segmentation IoU for crack/spall masks, AE timing RMSE and DTW for event sequence shape (DTW = dynamic time warping), PSD-KL for spectral divergence, Wasserstein distances on crack length/width distributions, calibration metrics: NLL, ECE, empirical coverage, CRPS, Brier score, PIT uniformity. Experimental setup: 2^3 factorial ablation (Fidelity: medium/high × Noise: naive/calibrated × Modality: full/reduced), 3 independent dataset seeds per cell (recommend 5 if compute allows), 3 training seeds per dataset seed, bootstrap 10k resamples for 95% CIs, statistical tests via mixed-effects ANOVA and permutation tests. Ablations: (1) fidelity ablation (medium vs high FE physics), (2) noise realism (calibrated vs naive noise injection), (3) modality removal (drop AE or DIC). High-fidelity allocation: reserve 50 HFM runs, batched selection 10 runs/iteration with ~80% EIG-driven and ~20% adversarial; stopping criteria: posterior 95% CI width ≤30% or per-run EIG below threshold. Reporting: provide per-specimen and per-modality sim-to-real gap metrics (Wasserstein/MMD, FID for images, DTW for AE), and require absolute accuracy gains ≥2% with 95% bootstrap CI excluding zero to claim improvement.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Persistent sim-to-real gap: synthetic physics or noise models may not capture critical real-world phenomena, causing adaptation failure. 2) Limited calibration data: 3–5 specimens per case may be insufficient to constrain FE priors, producing wide posteriors and weak guidance for SSL. 3) Overfitting to synthetic artifacts: models may exploit simulator-specific cues that do not generalize. 4) Uncertainty miscalibration under shift: ensemble-based predictive intervals may fail to provide correct empirical coverage on real holdouts. 5) Compute and budget limits: reserved 50 high-fidelity runs and multiple seeds per cell may be insufficient for statistical power or expensive to execute. 6) Sensor and annotation errors: mislabeled or misaligned multi-modal data (timing jitter, registration errors) will degrade physics-consistency losses. 7) Limited generalization: method may not transfer to other damage types, scales, or construction materials beyond the three pilot cases. 8) Evaluation bias: bootstrap and CI procedures assume independent specimens; correlated experimental conditions can invalidate confidence estimates.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