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End-to-end vision-driven quadrupedal locomotion via MAMBA selective state-space cross-modal fusion with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a stacked MAMBA selective state-space fusion backbone that mixtures specialized actor/critic heads and learned soft gating for proprioception and depth reduces samples-to-threshold AUC by &gt;=20% and increases per-episode recovery rate by &gt;=10 percentage points versus a monolithic single-head fusion baseline under varied terrains and visual perturbations.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methods for vision-driven legged locomotion either (1) use end-to-end reinforcement learning with convolutional encoders that fuse proprioception and camera inputs but treat fusion monolithically and struggle with long-horizon dependencies and appearance sensitivity, (2) apply sequence models (RNNs, transformers) for temporal history but suffer quadratic compute or poor long-horizon scaling, or (3) combine classical low-level controllers with learned high-level policies but limit end-to-end perceptual adaptation. State-space models (SSMs) and selective SSM variants offer near-linear time long-horizon modeling but have not been widely applied as cross-modal fusion backbones in locomotion. Mixture-of-heads or multi-critic designs have been used to specialize learning objectives but often lack learned perceptual gating and feasibility-aware constraint handling, which can hurt robustness or block gradients. Domain randomization and encoder pretraining improve sim-to-real but existing proxies for transfer (activation distances, linear probes) are inconsistently validated across holdout terrains. Overall limitations: monolithic fusion, limited long-horizon foresight, high compute for sequence models, insufficiently validated sim-to-real proxies, and gating mechanisms that can either be too rigid or inhibit learning.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vision-driven control for quadrupedal robots by proposing an end-to-end reinforcement learning framework that fuses proprioceptive states and depth images through a stacked MAMBA selective state-space backbone. MAMBA (a selective state-space model, i.e., a model that scans and updates a compact latent state with near-linear time and memory cost) enables long-horizon temporal reasoning and selective cross-modal attention between embedded proprioception and CNN patchified depth tokens. We couple MAMBA fusion with specialized mixture actor/critic heads and a learned soft gating mechanism with a differentiable feasibility projector to enforce physical constraints while preserving gradient flow. Policies are trained end-to-end with PPO and augmented by domain and terrain randomization and a compact state-centric reward. The main contribution is demonstrating that selective state-space cross-modal fusion with specialized heads improves sample efficiency, robustness to visual disturbance, and sim-to-real transfer compared to monolithic fusion and standard sequence models. Expected outcomes include lower training samples to reach performance thresholds, higher recovery rates under perturbation, and validated sim-to-real proxies for early stopping and adapter activation.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simulated Isaac Gym locomotion suite with configurable terrains split into easy, holdout, and hard sets; visual perturbation modes {clean, blur, occlusion}; depth or RGB-D observations at training resolution 128x128 and deployment adapter/resolution 84x84; real-world validation data: 500–2000 robot episodes across 5–10 terrains and lighting conditions for transfer evaluation. Baselines: (A) monolithic single-head MAMBA fusion, (B) transformer-based temporal fusion with same encoder, (C) proprioception-only PPO policy, (D) depth-only PPO policy, (E) hybrid RL high-level + PD low-level controller with monolithic fusion. Ablations: 2x2x2 factorial across Head (mixture vs single), Gating (learned soft + differentiable feasibility projector vs fixed uniform), Critic (multi-critic per objective vs single scalar critic). Training setup: PPO optimizer, encoder SSL pretrain optional, freeze encoder first 0.5M env steps, progressively unfreeze last block 0.5–1.0M steps, full unfreeze at 1.5M steps; total training until convergence or 3M env steps. Seeds and runs: N=7 seeds per cell, add up to 10–12 adaptively for high posterior uncertainty. Evaluation metrics: primary: samples-to-threshold AUC (area under curve of performance vs samples) and per-episode recovery rate; secondary: cost of transport (COT), stability margins (e.g., capture point deviation), action latency, end-to-end latency percentiles, MMD/FID between sim and real encoder activations, linear-probe transfer accuracy, gradient norms and gradient SNR, policy entropy, and training variance. Sim-to-real validation: use K-fold terrain holdouts to compute Pearson r and R2 of proxies (ensemble epistemic gap, encoder–proprio CKA/linear-probe, activation MMD) versus fine-tune gains; require Pearson r&gt;=0.6 and R2&gt;=0.3 on held-out folds to accept proxy. Hardware and HIL: profile encoder+gating on Jetson Orin/Xavier; test quantization (8-bit), pruning (30–70%) and adapter distillation to 84x84 and accept metric losses &lt;=5% (or &lt;=10% recovery rate). Reporting: Bayesian hierarchical contrasts with ROPE d_min=0.6, bootstrap 95% CIs, and posterior predictive checks; report samples-to-threshold AUC curves, final recovery rates, and per-cell summary tables.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gating with feasibility projector may suppress exploratory gradients causing slower learning or local optima; mixture heads may collapse to a single head or fail to specialize. Sensor and perception limits: depth or RGB degradation, occlusions, and camera calibration errors can cause state-estimate drift and unsafe commands. Sim-to-real gap: domain randomization and proxies may not fully predict real-world transfer; real-world fine-tune budget (500–2000 episodes) may be insufficient for some holdout terrains. Compute and scalability: MAMBA stacks reduce asymptotic cost but multi-head critics and mixture gating increase parameters and training memory; HIL latency constraints may force encoder compression that reduces performance. Evaluation biases: holdout terrain splits may not cover rare failure modes; ensemble or proxy metrics may overfit to simulated disturbances. Safety limits: closed-loop latency, timing jitter, or actuator limits can cause instability and falls during HIL tests. Generalization limits: learned policies may not generalize to fundamentally different robot morphologies or sensor suites without retraining.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