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adapkooppc</w:t>
      </w:r>
    </w:p>
    <w:p>
      <w:r>
        <w:t xml:space="preserve"> </w:t>
      </w:r>
    </w:p>
    <w:p>
      <w:pPr>
        <w:pStyle w:val="Heading2"/>
      </w:pPr>
      <w:r>
        <w:t>Title</w:t>
      </w:r>
    </w:p>
    <w:p>
      <w:r>
        <w:t>Adaptive deep Koopman predictive control for mitigating traffic oscillations in mixed human-driven and connected automated vehicle flows</w:t>
      </w:r>
    </w:p>
    <w:p>
      <w:r>
        <w:t xml:space="preserve"> </w:t>
      </w:r>
    </w:p>
    <w:p>
      <w:pPr>
        <w:pStyle w:val="Heading2"/>
      </w:pPr>
      <w:r>
        <w:t>Short Hypothesis</w:t>
      </w:r>
    </w:p>
    <w:p>
      <w:r>
        <w:t>An AdapKoopPC controller that learns a two-tier Koopman linear model and applies tube‑MPC with bootstrap-estimated disturbance bounds will reduce platoon spacing-error L2 norm by at least 20% and reduce dominant-frequency power spectral density (PSD) by at least 30% compared to IDM/ACC baselines in mixed-traffic freeway bottleneck scenarios with 10–30% CAV penetration.</w:t>
      </w:r>
    </w:p>
    <w:p>
      <w:r>
        <w:t xml:space="preserve"> </w:t>
      </w:r>
    </w:p>
    <w:p>
      <w:pPr>
        <w:pStyle w:val="Heading2"/>
      </w:pPr>
      <w:r>
        <w:t>Related Work</w:t>
      </w:r>
    </w:p>
    <w:p>
      <w:r>
        <w:t>Existing approaches use model-based controllers (e.g., IDM, ACC) and model-predictive control (MPC) or apply Koopman theory and deep learning to lift nonlinear dynamics into linear representations for control. Recent work demonstrates deep Koopman embeddings for prediction and control and separate research uses robust/tube-MPC to handle bounded disturbances. Domain randomization and transfer learning methods have been applied for adaptation across traffic regimes. Limitations: many Koopman-based controllers target small homogeneous fleets or offline prediction without real-time, scalable MPC integration; prior tube‑MPC treatments often assume fixed disturbance bounds without per-regime statistical estimation; domain adaptation is typically ad hoc (limited regime conditioning or no formal distribution alignment); solver and inference latency constraints for edge deployment are under-explored; safety monitoring and probabilistic guarantees are rarely combined with adaptive Koopman identification. These gaps restrict practical, provable deployment in heterogeneous mixed-traffic scenarios.</w:t>
      </w:r>
    </w:p>
    <w:p>
      <w:r>
        <w:t xml:space="preserve"> </w:t>
      </w:r>
    </w:p>
    <w:p>
      <w:pPr>
        <w:pStyle w:val="Heading2"/>
      </w:pPr>
      <w:r>
        <w:t>Abstract</w:t>
      </w:r>
    </w:p>
    <w:p>
      <w:r>
        <w:t>Traffic oscillations (stop-and-go waves) in mixed flows of human-driven and connected automated vehicles degrade safety and throughput. We propose AdapKoopPC, an adaptive deep Koopman predictive control framework that learns a two-tier linear latent model of heterogeneous car-following dynamics from naturalistic and simulated data and embeds that linear model into a real-time tube‑MPC. The two-tier latent structure separates global oscillatory modes from per-vehicle local modes to keep the representation compact and interpretable. Residuals of the Koopman predictor are used with a bootstrap procedure to produce regime-conditioned disturbance bounds for probabilistic tube tightening. Domain randomization plus regime conditioning aligns simulation and field distributions to improve transfer. The main contributions are (1) an adaptive deep Koopman identification (AdapKoopNet) tailored for mixed traffic, (2) a practical bootstrap-based tube‑MPC tightening with a clear probabilistic statement, and (3) a real-time implementation target and runtime diagnostic monitors. Expected outcome: measurable reduction in oscillation energy and spacing error with probabilistic safety margins while meeting edge timing constraints.</w:t>
      </w:r>
    </w:p>
    <w:p>
      <w:r>
        <w:t xml:space="preserve"> </w:t>
      </w:r>
    </w:p>
    <w:p>
      <w:pPr>
        <w:pStyle w:val="Heading2"/>
      </w:pPr>
      <w:r>
        <w:t>Experiments</w:t>
      </w:r>
    </w:p>
    <w:p>
      <w:r>
        <w:t>Datasets: 1) Simulated SUMO/Flow scenarios with domain randomization (densities, AV penetration, delays, sensor noise, weather) and seeds; 2) Calibration and validation on field datasets NGSIM and INTERACTION for parameter tuning and domain calibration. Baselines: (a) no-control (human-only), (b) IDM-based ACC controllers, (c) Koopman-MPC without adaptation (fixed lift, no contraction loss), (d) AdapKoopPC ablations: remove contraction loss, remove domain adaptation, vary neighbor radius r. Metrics: spacing-error L2 and L∞ along platoons, PSD attenuation at dominant frequencies (oscillation energy), travel-time variance, Time-To-Collision (TTC) distribution, fallback activation frequency, solver latency median and 3σ, constraint-violation count. Experimental setup: sampling Ts=0.1s, z_global dim=5, z_local dim=7, neighbor radius r∈{1,2,3} with baseline r=2, demo horizon N=10 (real-time) and research horizon N=20. Residual protocol: compute w_k = z_{k+1} - (A z_k + B u_k) on held-out runs; bootstrap B=2000 block samples to estimate 99.9th percentile CI; set w_max = upper_CI * s with s=1.2 default. Tube tightening: use induced ∞-norm consistent with residuals and compute E_t = sum_{j=0}^{t-1} ||A^j||_∞ · w_max; tighten decoded constraints H_x C_d z_nom(t) ≤ h_x - H_x C_d E_t. Real-time stack: ONNX encoder inference, OSQP QP solver with warm-start on target edge HW (example: NVIDIA Xavier NX); measure inference+solve latency over 1000 cycles, report median and median+3σ; target median+3σ &lt; 50 ms. Replication and statistics: run ≥100 randomized seeds per scenario; for ablations use 30–100 replications per configuration; analyze differences with ANOVA and pairwise nonparametric tests (Wilcoxon) with reported effect sizes and 95% CIs.</w:t>
      </w:r>
    </w:p>
    <w:p>
      <w:r>
        <w:t xml:space="preserve"> </w:t>
      </w:r>
    </w:p>
    <w:p>
      <w:pPr>
        <w:pStyle w:val="Heading2"/>
      </w:pPr>
      <w:r>
        <w:t>Risk Factors And Limitations</w:t>
      </w:r>
    </w:p>
    <w:p>
      <w:r>
        <w:t>Residual heavy tails and limited held-out data can lead to underestimated w_max (bootstrap risk); bootstrap (a resampling method that estimates statistics by sampling with replacement) reliability degrades with small sample sizes. Regime mislabeling can bias regime-conditioned w_max and reduce probabilistic guarantees. Koopman lifting may fail to capture strongly nonlinear or multi-lane lane-change dynamics, causing decoder mismatch (difference between decoded states and true vehicle states). Computational risks: inference+solver worst-case execution time (WCET, the maximum time a task may take) may exceed edge budgets, forcing shorter horizons or simpler models. Safety limits: guarantees are probabilistic (e.g., 95%) not absolute; frequent false positives from conservative monitors can lead to excessive fallback activations and reduced traffic benefits. Scalability constraints: block-sparse A reduces complexity but large fleet sizes increase state dimension and communication needs. Data bias: simulation-to-field gaps and sensor/communication delays can degrade transfer despite domain randomization. Experimental scope: results may not generalize to complex urban multi-lane networks with frequent lane changes and intersections.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