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hyssm_hypergraph_node_classification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Networks with State-Space Models and Transformer-style Fusion for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per-hyperedge state-space models to produce role-aware hyperedge vectors and fusing them with adjacency-based node embeddings via a learnable transformer-like mechanism causes a statistically significant improvement in node classification performance compared to comparable GNN baselines that do not use hypergraph SSMs.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graph neural networks (GNNs) propagate information over pairwise edges and struggle to represent higher-order group relations; hypergraph neural methods extend GNNs to hyperedges but often use simple pooling or static incidence weighting that discards internal hyperedge structure and temporal dynamics. Role-aware representation methods compute node roles (how nodes participate in local structure) but are typically decoupled from message-passing, limiting joint learning. Transformer and attention fusion techniques combine multiple feature streams but can be costly and may not preserve permutation invariance unless designed carefully. State-space models (SSMs) are effective for long-range sequence modeling but are rarely applied at the hyperedge level; naive use of SSMs risks spectral instability and vanishing/exploding dynamics in deep stacks. Practical gaps include lack of permutation-equivariant SSM-based hyperedge processing, limited engineering for sparse fused kernels, few benchmarks for hypergraph-SSM hybrids, and risks of overfitting when using per-incidence learnable scalars.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node classification on hypergraphs by combining hyperedge-aware sequence modeling with graph-structured message passing. The method builds a latent vector for each hyperedge using a state-space model (SSM), where an SSM is a lightweight sequence processor that maintains an internal hidden state over a sequence. These hyperedge vectors capture role-like, higher-order signals and are merged with standard adjacency-derived node embeddings through a learnable transformer-style fusion (a lightweight attention module). The fused embeddings are propagated with hypergraph convolution layers and residual shortcuts to limit over-smoothing. Main contributions are: (1) a permutation-equivariant architecture that runs SSMs on hyperedge-level sequences to capture internal hyperedge dynamics, (2) a learnable fusion module that combines role and adjacency channels, and (3) a practical API using CSR/CSC incidence inputs and an interchangeable SSM adapter. Expected outcome: richer node representations that improve classification accuracy and calibration on synthetic and real hypergraphs while providing clear engineering defaults for stable training in deep stacks.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chain/bridge hSBM (long-range task), hierarchical multiscale synthetic, temporal event synthetic, DBLP coauthorship (papers→hyperedges), Amazon/Yelp bundle hyperedges, and kNN-derived hypergraphs from Cora/Citeseer/OGBN embeddings. Splits: transductive stratified (train/val/test = 20/10/70), inductive node-cold (holdout 20% nodes), hyperedge-holdout (20% hyperedges), temporal forward-chaining for temporal sets. Baselines: MLP (feature-only), GCN, GAT, standard hypergraph convolution (static pooling), hypergraph attention, role-aware pipeline without SSM, and dual-channel GNN without transformer fusion. Model variants: DCH-SSM (dual-channel hypergraph SSM), HA-SSM (hyperedge-attention SSM), linear-SSM fallback. Architecture and training: default SSM = S4 backbone; epochs = 200 with early stopping patience 20; lr = 1e-3; weight decay = 1e-5; residual scale = 0.1; seeds = [0,7,42,123,2025]; CI runs use 5 seeds, publication runs use 10 seeds. Ablations: remove SSM (replace with pooled statics), replace transformer fusion with sum/concat, disable per-hyperedge memories, vary hyperedge memory dims ∈ {8,16,32}, depth sweep layers ∈ {2,4,8,12,20}. Metrics: accuracy, macro-F1, micro-F1, Expected Calibration Error (ECE), runtime per epoch, peak GPU memory. Statistical tests: paired Wilcoxon signed-rank across seeds; report mean±std and p-values. Engineering measurements: record sparse matmul throughput (edges/sec), SSM conv throughput, kernel launch counts, and Nsight/PyTorch profiler traces for memory budgets {12GB,32GB,80GB}.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SSM instability: deep SSM stacks may exhibit exploding or vanishing dynamics despite spectral initialization, causing training failures. Permutation-equivariance bugs: incorrect ordering assumptions or pooling before attention can break invariance to node relabelings. Overfitting: per-incidence learnable scalars and per-hyperedge memories can overfit on small or mid-size datasets. Scalability and memory: large hyperedges or high average degree may cause OOM or slow sparse operations; fused kernel engineering is nontrivial. Evaluation bias: real datasets converted to hypergraphs (e.g., kNN) can introduce artifacts that do not reflect natural hyperedges. Limited generalization: improvements on synthetic chain/bridge tasks may not transfer to all real-world graphs. Reproducibility risk: many tuning knobs (SSM hyperparameters, spectral penalties, fusion heads) require careful default choices to avoid unstable baselines.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