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Graph neural network method for predicting electrically significant links in analog circuit netlists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graph neural network trained using subgraph-based examples, LLM-assisted netlist format conversion, and surrogate-labeled SPICE data will yield higher precision@K for electrically significant links than a relational GNN baseline trained without subgraph extraction, LLM conversion, or surrogate labels.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circuit link prediction fall into three groups: (1) global graph GNNs that process entire netlists but often miss fine-grained port-level cues; (2) subgraph-based link predictors (for example, SEAL) that learn from local neighborhoods and have shown improvement on structural link tasks but have not been adapted to analog-port semantics or electrical parasitics; and (3) SPICE-surrogate and physics-informed models that predict electrical effects from features but require large labeled SPICE corpora and custom feature pipelines. Prior netlist tools rely on hand-written parsers and format-specific rules, which reduces portability across EDA formats. Limitations: global GNNs under-perform on port-level links, subgraph methods lack electrical labels and thermal/frequency features, surrogate models are limited by scarce SPICE data, and netlist parsing lacks robust automated conversion across vendor formats. None of these approaches combine subgraph learning, LLM-assisted netlist conversion, surrogate labeling, and verification-aware negative sampling for analog link prediction.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analog circuit link prediction: identifying electrically significant connections (parasitic coupling, series resistance, mutual inductance, or control links) at port level from netlist and extracted parasitics. We propose a reproducible pipeline that combines (1) subgraph-based GNN training using SEAL-style local neighborhoods to capture topology and motif patterns, (2) Netlist Babel Fish, an LLM-augmented netlist format converter to normalize diverse vendor netlists into a canonical schema, and (3) surrogate-labeled training using targeted SPICE runs to provide electrical-impact labels. We release a curated SpiceNetlist dataset of annotated circuits and define negative-sampling rules and verification gates to ensure EDA safety. The main contribution is GNN-ACLP: a link-prediction method that fuses structural subgraphs, per-node thermal/frequency features, and surrogate electrical deltas to prioritize links by design impact. Expected outcome: improved detection of high-impact links with fewer full SPICE runs, adaptable netlist ingestion across formats, and a reproducible evaluation protocol that ties ML metrics to electrical thresholds.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SpiceNetlist corpus (775 annotated circuits across 7 circuit families and 10 component classes). Augment with synthetic layout variants and 10 held-out representative circuits for thermal/frequency sweeps (differential pair, current mirror, cascode OTA, folded cascode, two-stage op-amp, bandgap, LDO, switched-cap filter, LC tank receiver, PLL phase detector). Splits: fixed by circuit family, layout family, and process corner; train/val/test by family to avoid motif leakage. Baselines: (A) relational GNN (R-GCN/HetConv) using whole-graph features, (B) physics-attention GNN from team notes, (C) SEAL-style link predictor without surrogate labels, (D) logistic regression on engineered features. Proposed: Variant A (heterogeneous relational GNN + SEAL subgraphs + surrogate labels) and Variant B (physics-informed attention GNN + frequency embeddings + surrogate labels). Training protocol: identical seeds [42, 7, 2023], same optimizer (Adam, lr=1e-3), batch size=64, epochs=200, early stopping on val loss, and identical total labeled-budget (number of SPICE-backed examples) per model. Negative sampling quotas per epoch: 50% easy, 30% near-threshold (±20%), 15% shielded/proximate, 5% cross-domain illegal (training-only). Surrogate and SPICE budget: initial 500 prioritized near-threshold SPICE jobs, then iterative batches of 250; acquisition function: score = weight_u * uncertainty + weight_i * predicted_impact - diversity_scale * embedding_distance, with weight_u=1.0, weight_i=1.0, diversity_scale=0.5; stopping when validation electrical-impact MAE plateaus for 3 rounds or budget exhausted. Metrics: topology F1, ROC AUC, PR AUC, precision@K (K=5,20,100), parasitic regression MAE/RMSE for C/R/M (log-scaled for small values), electrical-impact MAE (gain in dB, phase margin in deg, offset in mV), calibration ECE/MCE, and OOD FNR. Ablations: remove SEAL subgraph extraction, remove Netlist Babel Fish conversion (raw parsing), remove surrogate labels (use extracted parasitics only), vary negative-sampling quotas (ablate 50/30/15/5). Statistical tests: paired bootstrap for continuous metrics, McNemar test for paired classification outcomes. Verification: apply minimal verification gates (KCL/KVL, no power-domain shorts, centroid checks, DRC smoke) on promoted edges; report gate pass rates. Reproducibility: run each experiment with seeds [42,7,2023] and container image + manifest as provided; log all random seeds and solver versions.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Surrogate fidelity risk: neural surrogates may not reach required MAE thresholds (gain ≤0.2 dB, PM ≤2°, offset ≤2 mV), causing mislabeled training signals. OOD and LLM risk: Netlist Babel Fish (LLM-based conversion) can hallucinate or mis-map port names, producing incorrect canonical graphs. Data scarcity: SpiceNetlist (775 circuits) may not cover rare topologies, limiting generalization to novel blocks. Negative-sampling bias: quotas may bias classifiers and produce false positives near thresholds. Compute cost: SPICE runs (thermal/frequency sweeps) and ensemble training require substantial CPU/GPU and may limit iteration speed. Verification coupling: automated verification gates may produce false rejects or acceptances depending on threshold tuning, affecting downstream evaluation. Scalability: frequency-profile vectors and thermal features increase graph feature size and may slow GNN inference on large netlists. Evaluation limits: per-family holdouts test some generalization but cannot guarantee transfer to all industrial-scale designs.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