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Research Pipeline</w:t>
      </w:r>
    </w:p>
    <w:p>
      <w:r>
        <w:t xml:space="preserve"> </w:t>
      </w:r>
    </w:p>
    <w:p>
      <w:pPr>
        <w:pStyle w:val="Heading2"/>
      </w:pPr>
      <w:r>
        <w:t>Name</w:t>
      </w:r>
    </w:p>
    <w:p>
      <w:r>
        <w:t>qlstm_attention_permeability</w:t>
      </w:r>
    </w:p>
    <w:p>
      <w:r>
        <w:t xml:space="preserve"> </w:t>
      </w:r>
    </w:p>
    <w:p>
      <w:pPr>
        <w:pStyle w:val="Heading2"/>
      </w:pPr>
      <w:r>
        <w:t>Title</w:t>
      </w:r>
    </w:p>
    <w:p>
      <w:r>
        <w:t>Quantum-enhanced long short-term memory with attention for spatial permeability prediction in oilfield reservoirs</w:t>
      </w:r>
    </w:p>
    <w:p>
      <w:r>
        <w:t xml:space="preserve"> </w:t>
      </w:r>
    </w:p>
    <w:p>
      <w:pPr>
        <w:pStyle w:val="Heading2"/>
      </w:pPr>
      <w:r>
        <w:t>Short Hypothesis</w:t>
      </w:r>
    </w:p>
    <w:p>
      <w:r>
        <w:t>Embedding variational quantum circuits into LSTM gates and attention will reduce pointwise prediction error and improve spatial structure metrics (variogram similarity and connectivity indices) relative to parameter-count-matched classical baselines under identical training conditions.</w:t>
      </w:r>
    </w:p>
    <w:p>
      <w:r>
        <w:t xml:space="preserve"> </w:t>
      </w:r>
    </w:p>
    <w:p>
      <w:pPr>
        <w:pStyle w:val="Heading2"/>
      </w:pPr>
      <w:r>
        <w:t>Related Work</w:t>
      </w:r>
    </w:p>
    <w:p>
      <w:r>
        <w:t>Classical approaches to spatial permeability prediction use convolutional encoders, LSTM or conv-LSTM recurrent layers, and attention to capture spatial and temporal context. These methods can achieve low pointwise error but often fail to fully recover realistic spatial continuity and connectivity. Quantum machine learning work has explored variational quantum circuits (VQCs) as compact parametric models and small-scale quantum recurrent or feedforward blocks; hybrid quantum-classical models show promise in expressivity but are limited by noisy hardware, low qubit counts, and high measurement cost. Prior proposals rarely enforce strict parameter-parity with classical baselines, seldom include geostatistical regularizers (e.g., variogram penalties), and often lack spatially deterministic cross-validation or randomized controls (zero-entanglement, phase-scramble) needed to attribute gains to quantum components. In short, current methods either ignore geological spatial structure or cannot separate quantum expressivity from hardware noise and capacity differences.</w:t>
      </w:r>
    </w:p>
    <w:p>
      <w:r>
        <w:t xml:space="preserve"> </w:t>
      </w:r>
    </w:p>
    <w:p>
      <w:pPr>
        <w:pStyle w:val="Heading2"/>
      </w:pPr>
      <w:r>
        <w:t>Abstract</w:t>
      </w:r>
    </w:p>
    <w:p>
      <w:r>
        <w:t>We address spatial prediction of permeability in oilfield reservoirs by introducing a hybrid quantum-classical architecture that embeds variational quantum circuits (VQCs) inside LSTM gates and the attention projection to form a quantum-enhanced LSTM with attention (QLSTMA). The method evaluates two quantization structures (shared-gate parameters versus independent-gate parameters) and studies the effect of qubit count and circuit depth on spatial accuracy. Main contributions: (1) a hybrid QLSTMA design that projects ConvEncoder features into VQCs inside gating and attention, (2) two gate-quantization schemes to test parameter sharing and qubit scaling, and (3) a reproducible experimental protocol that measures pointwise error, variogram similarity, connectivity indices, and calibration to attribute improvements to quantum components. Expected outcome: determine whether modest NISQ-era quantum modules can produce measurable improvements in spatial continuity and flow-relevant structure for reservoir permeability while remaining deployable in hybrid workflows. (VQC: a small trainable quantum circuit; NISQ: current noisy quantum hardware.)</w:t>
      </w:r>
    </w:p>
    <w:p>
      <w:r>
        <w:t xml:space="preserve"> </w:t>
      </w:r>
    </w:p>
    <w:p>
      <w:pPr>
        <w:pStyle w:val="Heading2"/>
      </w:pPr>
      <w:r>
        <w:t>Experiments</w:t>
      </w:r>
    </w:p>
    <w:p>
      <w:r>
        <w:t>Datasets: use provided processed pilot fields plus one reserved held-out field (Field_HOLDOUT) and a bank of conditioned synthetic realizations for augmentation. Train/validation splits: deterministic spatial block cross-validation manifests and held-out Field_HOLDOUT for final evaluation. Baselines: (A) classical ConvEncoder + LSTM + softmax attention, (B) parameter-count-matched classical MLP/LSTM gate surrogates, (C) conv-LSTM variants, and (D) zero-entanglement and phase-scrambled controls. Quantum configurations: primary q=6 qubits, exploratory q=8; VQC layer depths L ∈ {2,3,4} (default L=2–3); encodings: angle and hybrid angle+data-reupload; amplitude encoding only in noiseless simulators. Ablations: (1) gate-VQC vs parameter-matched classical MLP, (2) quantum attention vs classical attention, (3) encoding ablation (angle vs hybrid vs amplitude), (4) q and L scaling, (5) regularizer on/off (fidelity and entanglement), (6) randomized controls (zero-entanglement, phase-scramble, randomized labels). Metrics: RMSE, MAE, R², Spearman rho, multi-scale variogram similarity (short/mid/long lags), connectivity indices (percolation/connectivity metrics), calibration (ECE, PICP), gradient-norm diagnostics, and sample-efficiency curves. Training &amp; evaluation protocol: PyTorch + PennyLane, parameter-shift gradients, AdamW with LR warmup (classical LR 1e-3, quantum LR 5e-4–1e-3), adaptive shot schedule starting at 256 shots per VQC increasing to 1024/4096 when Var(grad)/|grad|&gt;0.5, checkpoint every 5 epochs with DVC manifests. Fairness rules: match trainable parameter counts within ±2% and estimated FLOPs within ±5%, identical optimizers, learning rates, batch sizes, augmentations, and paired RNG seeds. Statistical inference: paired-seed protocol with target N=50 independent seeds; apply Wilcoxon signed-rank and paired t-tests with Holm-Bonferroni correction; require p&lt;0.05 and Cohen's d≥0.35 or ≥5% relative RMSE reduction plus improvement in at least one geostatistical metric to claim quantum advantage. Hardware decision gate: proceed to hardware runs only if simulator results satisfy statistical &amp; geostat criteria across N≥40 seeds, entanglement ablation outperforms zero-entanglement control, and calibration/stability logs show bounded drift and acceptable ZNE-corrected variance.</w:t>
      </w:r>
    </w:p>
    <w:p>
      <w:r>
        <w:t xml:space="preserve"> </w:t>
      </w:r>
    </w:p>
    <w:p>
      <w:pPr>
        <w:pStyle w:val="Heading2"/>
      </w:pPr>
      <w:r>
        <w:t>Risk Factors And Limitations</w:t>
      </w:r>
    </w:p>
    <w:p>
      <w:r>
        <w:t>Noise and hardware limits: NISQ hardware has decoherence and readout errors that can mask model signal; VQCs require many shots (measurements) which increase run time and cost. Shot noise and gradient variance can destabilize training. Scalability: qubit count and circuit depth are limited; mapping high-dimensional spatial features to few qubits may lose information. Attribution bias: failure to enforce parameter parity or deterministic splits may lead to spurious claims. Data biases: pilot fields may not represent all geological settings, limiting generalization to new reservoirs. Evaluation limits: variogram and connectivity metrics depend on scale choices and may be sensitive to post-processing. Compute and reproducibility: VQC training with adaptive shots and error mitigation increases compute and reproducibility burden. Generalization: improvements on held-out field may not transfer to fields with very different facies or measurement noise distributions.</w:t>
      </w:r>
    </w:p>
    <w:p>
      <w: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