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rural_fb_pwa_prevention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pilot randomized trial of a Facebook-delivered progressive web application intervention to increase HPV vaccination uptake and reduce tobacco/vaping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co-created, theory-based intervention delivered via Facebook private groups plus a mobile-first progressive web app (PWA) that uses autonomy-supportive messaging, action planning, and scheduling support will cause higher verified HPV vaccination uptake and lower tobacco/vaping prevalence among rural emerging adults at 12 weeks compared to an attention-control condition.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Digital health and mHealth interventions (mobile apps, text messaging, social media) have been used to change single health behaviors like vaccination or smoking cessation. Mixed-methods pilots support iterative design but often target urban or general populations, not rural emerging adults. Existing approaches commonly rely on self-report outcomes, short follow-up windows, or single-behavior modules. Limitations include sparse objective verification (vaccine registries or biochemical validation), limited community co-creation, weakly specified behavior-change technique (BCT) mappings, inadequate low-bandwidth adaptations for rural settings, and few formal mediation or randomized-encouragement tests to support causal claims. These gaps reduce generalizability to rural contexts and limit ability to identify active intervention components.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high preventable cancer risk from low HPV vaccination and tobacco/vaping use. We propose a mixed-methods pilot randomized trial to test a co-created, theory-driven intervention delivered through Facebook private groups and a mobile-first progressive web app (PWA). The intervention maps COM-B, Social Cognitive Theory, and Self-Determination Theory to explicit behavior-change techniques (BCTs) such as autonomy-supportive messaging, action planning, prompts, and scheduling support, and is co-designed with community advisory boards. The main contribution is an integrated feasibility and causal-testing package: objective verification of HPV vaccination (registry or time-stamped photo) and tobacco abstinence (saliva cotinine), randomized encouragement microcomponents to strengthen causal inference, and mediation tests linking autonomy-supportive framing to self-efficacy and outcomes. Expected outcomes are demonstrable feasibility, signals of increased verified vaccination and reduced tobacco use, and identification of active components to inform a larger trial. Results will inform scalable, equity-focused cancer prevention strategies for rural young adults.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 and sample: Recruit N=80–120 rural emerging adults (age 18–26) across 3–4 rural sites (community colleges, FQHCs, extension offices). Randomization: 1:1 allocation to intervention vs attention-control; within intervention, micro-randomized encouragement arms for scheduling support (randomized encouragement: one-click scheduling vs no encouragement) and prompt timing (morning vs evening). Baselines: collect demographics, broadband access, transport constraints, self-efficacy, autonomous motivation. Baselines and follow-up at 12 weeks; mediator measures immediately post-target modules. Outcomes and metrics: primary objective outcomes: verified HPV vaccination uptake (binary; registry where possible, fallback: time-stamped photo) and cotinine-verified tobacco abstinence (binary). Process metrics: retention rate at 12 weeks, System Usability Scale (SUS) mean, module completion count, time-on-module, notification open rate. Statistical methods: intention-to-treat mixed-effects models (random intercepts for site and participant) for binary outcomes (logit link) and linear mixed models for continuous metrics; adjust for baseline covariates; estimate effect sizes with 95% CIs and ICCs. Mediation: longitudinal mediation using mixed models with bootstrapped indirect effects (bootstrap bias-corrected CIs) for self-efficacy and autonomous motivation measured at baseline, post-module, and 12 weeks. Causal strengthening: use randomized encouragement as an instrumental variable (IV) for scheduling support in IV analyses to estimate complier-average causal effects. Missing data: multiple imputation and sensitivity analyses (MNAR scenarios). Comparisons/ablations: (1) intervention vs attention-control baseline; (2) within intervention, ablation: remove scheduling support (compare micro-randomized arms) and remove autonomy-supportive framing (A/B test) to assess component effects; (3) dose-response analysis using pre-specified bands (0–2, 3, 4–6 modules). Evaluation metrics: odds ratios and risk differences for binary outcomes, Cohen's d for continuous, mediation indirect effect sizes, SUS scores, retention proportions with 95% CIs. Pre-specified subgroup interactions: broadband×completion, transport×referral uptake, SES×verification. Progression rules: proceed to optimization if ≥3 of predefined thresholds met (SUS≥70, retention≥70%, ≥60% complete≥3 modules, verification≥50%).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PWA offline caching or SMS fallback may fail in extreme low-bandwidth areas, causing missing engagement data. Verification delays: registry linkages and DUAs may be delayed or incomplete, reducing objective outcome coverage. Measurement timing: saliva cotinine reflects recent abstinence (days) and can miss intermittent use; vaccine photo fallbacks may be forged or incomplete. Selection bias: participants opting into a Facebook/PWA study may differ from broader rural emerging adults, limiting generalizability. Attrition bias: differential dropout by site or subgroup (low broadband, low SES) may bias dose–response estimates. Small sample: pilot N limits power for subgroup or interaction tests and precise mediation estimates. Confounding in mediation: mediator–outcome confounding (unmeasured variables) can limit causal mediation interpretation despite IV and sensitivity analyses. Data security/regulatory delays: DUAs, IRB, or clinic cooperation constraints may limit data access. Scalability limits: results from 3–4 sites may not generalize to other rural regions or non-Facebook platforms.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