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a2ar_cp_csf_hydrocephalus</w:t>
      </w:r>
    </w:p>
    <w:p>
      <w:r>
        <w:t xml:space="preserve"> </w:t>
      </w:r>
    </w:p>
    <w:p>
      <w:pPr>
        <w:pStyle w:val="Heading2"/>
      </w:pPr>
      <w:r>
        <w:t>Title</w:t>
      </w:r>
    </w:p>
    <w:p>
      <w:r>
        <w:t>Choroid plexus-restricted genetic and pharmacological perturbation of adenosine A2A receptor signaling to test its causal role in cerebrospinal fluid hypersecretion and ventriculomegaly in hydrocephalus</w:t>
      </w:r>
    </w:p>
    <w:p>
      <w:r>
        <w:t xml:space="preserve"> </w:t>
      </w:r>
    </w:p>
    <w:p>
      <w:pPr>
        <w:pStyle w:val="Heading2"/>
      </w:pPr>
      <w:r>
        <w:t>Short Hypothesis</w:t>
      </w:r>
    </w:p>
    <w:p>
      <w:r>
        <w:t>Enhanced adenosine A2A receptor signaling in choroid plexus epithelium increases cerebrospinal fluid (CSF) secretion and causes ventricular enlargement via PI3K/AKT-dependent SPAK phosphorylation and NF-κB-driven upregulation of ATP1A2, and either CP-restricted A2AR deletion or A2AR antagonism (istradefylline) prevents these effects.</w:t>
      </w:r>
    </w:p>
    <w:p>
      <w:r>
        <w:t xml:space="preserve"> </w:t>
      </w:r>
    </w:p>
    <w:p>
      <w:pPr>
        <w:pStyle w:val="Heading2"/>
      </w:pPr>
      <w:r>
        <w:t>Related Work</w:t>
      </w:r>
    </w:p>
    <w:p>
      <w:r>
        <w:t>Prior studies show adenosine A2A receptors modulate neuronal and vascular signaling and that choroid plexus epithelium controls CSF production through ion transporters (e.g., NKCC1, CFTR, Na+/K+-ATPase/ATP1A2). Existing work linking A2AR to fluid balance mostly used systemic or brain-wide manipulations, lacked choroid-plexus specificity, and did not map receptor signaling bias to transporter phosphorylation or direct CSF production measurements. PET and pharmacology studies demonstrate central A2AR occupancy is measurable, but CP-specific occupancy and partial-volume correction challenges remain. Therapeutic efforts for hydrocephalus focus on diversion surgery; few studies combine molecular pathway dissection with in vivo CSF production and longitudinal ventricular imaging. Limitations in current approaches include poor spatial specificity (cannot isolate CP effects), incomplete mechanistic chains from receptor signaling to transporter trafficking, and limited integration of PK/PD, imaging, and functional assays.</w:t>
      </w:r>
    </w:p>
    <w:p>
      <w:r>
        <w:t xml:space="preserve"> </w:t>
      </w:r>
    </w:p>
    <w:p>
      <w:pPr>
        <w:pStyle w:val="Heading2"/>
      </w:pPr>
      <w:r>
        <w:t>Abstract</w:t>
      </w:r>
    </w:p>
    <w:p>
      <w:r>
        <w:t>Hydrocephalus is characterized by excessive cerebrospinal fluid (CSF) volume and ventriculomegaly. We will test whether aberrant adenosine A2A receptor (A2AR) signaling in choroid plexus (CP) epithelium drives CSF hypersecretion and ventricular enlargement through parallel PI3K/AKT→SPAK phosphorylation and NF-κB→ATP1A2 transcriptional pathways, and whether blocking A2AR with the FDA-approved antagonist istradefylline or CP-restricted A2AR deletion prevents these outcomes. The approach combines CP-restricted genetic loss-of-function (Ttr-CreERT2/FoxJ1-CreERT2 × Adora2a-flox and intraventricular AAV-Cre), Cre-dependent rescue with wild-type and signaling-biased A2AR variants, in vitro signaling bias assays (EPAC FRET for cAMP, β-arrestin BRET), transporter physiology (Ussing chamber, Isc, transepithelial water flux), PET/MRI imaging with partial-volume correction for CP occupancy, and direct CSF production measurement. The main contribution is causal evidence linking a defined receptor signaling bias to specific transporter regulation and CSF dynamics, with translational PK/PD guidance for repurposing istradefylline. Expected outcomes are a validated mechanistic chain from CP A2AR to CSF production and actionable dosing/occupancy targets for therapeutic testing.</w:t>
      </w:r>
    </w:p>
    <w:p>
      <w:r>
        <w:t xml:space="preserve"> </w:t>
      </w:r>
    </w:p>
    <w:p>
      <w:pPr>
        <w:pStyle w:val="Heading2"/>
      </w:pPr>
      <w:r>
        <w:t>Experiments</w:t>
      </w:r>
    </w:p>
    <w:p>
      <w:r>
        <w:t>Datasets and models: 1) Primary human CP epithelial monolayers and CP organoids (in vitro). 2) Adult mouse cohorts: (a) kaolin-induced hydrocephalus; (b) vehicle/sham controls; (c) Adora2a-flox × Ttr-CreERT2 and FoxJ1-CreERT2 induced adults; (d) AAV4 vs AAV5 intraventricular reporter pilot; (e) AAV-Cre adult intraventricular KO and Cre-dependent rescue groups expressing WT, Gs-biased, β-arrestin-biased, and signaling-dead A2AR constructs; (f) systemic istradefylline vs ICV istradefylline arms. Baselines: vehicle treatment, sham AAV, global Adora2a heterozygote control, and signaling-dead rescue. Evaluation metrics: ventricular volume (MRI T2 volumetry, absolute mm^3 and percent change), CSF production rate (ventriculo-cisternal perfusion, µL/min), aqueductal net flow and stroke volume (PC‑MRI), CP A2AR occupancy (PET with PVC, percent), cAMP dynamics (EPAC FRET ΔF/F or kinetics), β-arrestin recruitment (BRET ratio), phospho-SPAK and phospho-NKCC1/CFTR band intensities (Western blot fold change), ATP1A2 mRNA (qPCR fold change) and protein, Isc (µA/cm^2), TEER (Ω·cm^2), transporter surface fraction (surface biotinylation %), and physiological confounders (blood pressure, heart rate). Experimental setup and timeline: Week 0 baseline imaging and sample collection; Week 1 inject AAV4 vs AAV5 reporter (pilot), begin EPAC FRET and β-arrestin dose–response for CGS-21680, regadenoson, ZM241385, istradefylline. Week 2 &amp; 4 QC: RNAscope/qPCR/IHC for CP recombination and transduction; collect pilot imaging variance. For main cohorts, induce tamoxifen at P30+ and/or deliver AAV-Cre in adults; perform PET at predicted Tmax and MRI/PC-MRI at timepoints: 30–60 min, 2–6 h, 24 h, weeks 1,2,4,8,12. Collect plasma, CSF, and CP tissue at matched timepoints. Comparisons and ablations: 1) CP-restricted KO vs global KO vs sham to isolate CP-specific effects. 2) Rescue panel: WT vs Gs-biased vs β-arrestin-biased vs signaling-dead to test pathway sufficiency and necessity. 3) Pharmacology: systemic istradefylline vs ICV istradefylline vs vehicle to assess peripheral confounds. 4) Transporter inhibition ablation: apply bumetanide (NKCC1 inhibitor) and CFTRinh-172 during Ussing assays and in vivo osmotic pump arms to test dependence on specific transporters. Statistical analysis: use linear mixed-effects models for longitudinal imaging and physiology with animal as random effect; mediation analysis structuring Occupancy (30–60 min) → cAMP/PKA (5–30 min) → transporter phospho/trafficking (30–60 min) → Isc/water flux (30 min–6 h) → CSF production (24 h) → ventricular volume (weeks); pre-register mixed-effects mediation and Bayesian hierarchical submodels for small rescue groups. Ablation outcome measures: reduction in ventricular volume change and CSF production when CP A2AR is deleted or antagonized, and loss of effect in signaling-dead rescues. Power and baselines: biostatistician will compute sample sizes from week-4 pilot variances; initial pilot n=8–12/group for imaging cohorts.</w:t>
      </w:r>
    </w:p>
    <w:p>
      <w:r>
        <w:t xml:space="preserve"> </w:t>
      </w:r>
    </w:p>
    <w:p>
      <w:pPr>
        <w:pStyle w:val="Heading2"/>
      </w:pPr>
      <w:r>
        <w:t>Risk Factors And Limitations</w:t>
      </w:r>
    </w:p>
    <w:p>
      <w:r>
        <w:t>Incomplete CP specificity: AAV transduction or Cre recombination may transduce non-CP sites, confounding attribution to CP epithelium. Transduction efficiency risk: failure to reach &gt;80% CP epithelial coverage reduces power to detect CP-specific effects. Compensatory changes: other adenosine receptors or transporter expression may change after A2AR deletion, obscuring causal links. PET and partial-volume correction limits: thin CP structures may produce noisy occupancy estimates and require validation by autoradiography. Cardiovascular and peripheral A2AR effects: systemic antagonist dosing may alter blood pressure or heart rate and indirectly change CSF dynamics. Species and model translation: rodent CP biology or kaolin model outcomes may not generalize to human hydrocephalus. Measurement noise and timing: mismatch between PK/PD timepoints and biological signaling kinetics can weaken mediation inference. Small sample sizes in rescue arms: limited n may reduce power for biased-rescue comparisons and Bayesian estimates will have wider credible intervals. Unmeasured inflammatory mediators or alternate transport mechanisms (e.g., AQP1 changes) could contribute to CSF changes and complicate attribution to the specified PI3K/AKT–SPAK and NF-κB–ATP1A2 pathways.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