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lab_errors_total_testing_process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Three-year retrospective descriptive and sigma-metric analysis of laboratory testing errors across the total testing process in a general hospital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Applying deterministic plus probabilistic record linkage together with three-source capture-recapture adjustment will increase estimated laboratory testing error counts compared with LIS incident counts alone, and adjusted estimates will show pre-analytical error rates at least 20% higher than analytic and post-analytic error rates.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laboratory testing errors focuses on single-source incident reporting, predictive analytics for near-real-time alerts, and taxonomy proposals for pre-analytic, analytic, and post-analytic phases. Existing methods are limited by inconsistent taxonomies across sites, underreporting in voluntary incident systems, sparse evaluation of record-linkage accuracy, and few multi-year studies that combine error quantification with sigma metrics (a Six Sigma measure of process defects; higher sigma = fewer defects). Capture-recapture and data linkage have been used in other clinical safety domains but are rarely combined with formal harm adjudication or mixed-effects longitudinal models in laboratory settings. Real-time monitoring research emphasizes detection but often lacks reproducible linkage procedures, adjudicated clinical-harm integration, and bootstrap uncertainty propagation for adjusted rates. These gaps produce unstable cross-site comparisons, biased rate estimates, and limited guidance for prioritized root-cause analysis.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quantifies types, frequencies, and clinical harm of laboratory testing errors across pre-analytic, analytic, and post-analytic phases using a three-year retrospective dataset from a general hospital. We combine deterministic and probabilistic record linkage to join LIS incident flags, LIS orders/tests, EHR audit trails, transport and phlebotomy logs, QC records, staffing rosters, and outcome indicators. We apply a three-source log-linear capture-recapture method with bootstrap uncertainty to adjust for underreporting, compute descriptive rates (errors per 1,000 specimens/tests) and sigma-metrics, and model predictors using generalized linear mixed models with pre-specified decision rules for overdispersion and zero inflation. A structured four-level clinical-harm adjudication (no, mild, moderate, severe) will be applied by blinded reviewers. Main contributions are (1) a reproducible linkage and adjustment pipeline that yields adjusted error rates with quantified uncertainty, (2) integration of harm adjudication into prioritization, and (3) sigma-metric benchmarking across specimen sources to guide targeted quality-improvement actions. Expected impact: more accurate error measurement, defensible prioritization for RCA/FMEA, and reproducible code and artifacts for external validation.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three years of hospital data including (1) LIS incident flags, (2) LIS order/test records (with LOINC/test IDs), (3) EHR order audit trails, (4) phlebotomy logs, (5) pneumatic-tube/transport logs, (6) QC/maintenance records, (7) staffing rosters, and (8) patient outcomes (admissions, ICU transfer, meds, LOS). Baselines: raw LIS incident counts; deterministic-linkage-only counts; deterministic+probabilistic linkage without capture-recapture. Linkage validation: create a gold-standard sample by clerical review of 1000 candidate matches stratified by inpatient/outpatient and specimen type; compute false-match rate and false-nonmatch rate. Linkage procedure: deterministic (MPI + specimen_id + timestamp window: inpatient ±2 h, outpatient ±24 h); fallback deterministic (MPI + test_code + date); probabilistic Fellegi-Sunter with pre-specified weights and thresholds (accept ≥0.85, reject ≤0.65, clerical review 0.65–0.85). Capture-recapture: three-source log-linear models stratified by department and specimen_type, test interaction terms to relax independence, select model by AIC/BIC, and bootstrap 10,000 replicates to obtain 95% CIs. Sentinel audits: ED, ICU, outpatient phlebotomy; audit 150–200 consecutive events per unit per quarter; use audit to estimate reporting sensitivity and to validate automated capture. Descriptives: compute error rates per 1,000 specimens (pre-analytic) and per 1,000 tests (analytic/post-analytic), and sigma metrics (convert defects per million to sigma). Modeling: outcome = count of confirmed errors by unit-time; offset = log(number of specimens or tests); baseline Poisson GLMM with random intercepts for unit/department and fixed covariates (shift, workload tests/hour, staffing ratio, staff_role, specimen_type, instrument_downtime, seasonality, policy flags). Decision rules: compute dispersion = residual deviance / residual df; if dispersion &gt; 1.5 or LRT p&lt;0.05 for NB vs Poisson, switch to negative binomial GLMM; assess zero inflation with Vuong test and AIC/BIC and use zero-inflated model only if supported. Interrupted time series: segmented regression with AR(1) errors, seasonal terms (month indicators or Fourier terms), and time-varying covariates; report level and slope changes. Harm adjudication: two blinded reviewers per event + third arbitrator; report Cohen's kappa. Evaluation metrics: adjusted and unadjusted error rates per 1,000 (with bootstrap 95% CI), sigma metrics, sensitivity/specificity of automated detection vs gold standard, false-match/nonmatch rates for linkage, incidence rate ratios (IRR) with 95% CI from GLMM, AIC/BIC, kappa for adjudication, and bootstrap propagation of capture-recapture uncertainty into rate estimates. Comparisons/ablations: (A) deterministic-only vs deterministic+probabilistic linkage; (B) deterministic+probabilistic with vs without capture-recapture adjustment; (C) models Poisson vs NB vs zero-inflated; (D) harm-weighted prioritization vs frequency-only prioritization. Reproducibility: provide Docker image, Git repo with seeded scripts, immutable linkage audit log, and data dictionary.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Underreporting bias: voluntary incident systems miss events and capture-recapture relies on source independence assumptions that may fail by stratum. Linkage error: probabilistic linkage can produce false matches or nonmatches; clerical review is resource intensive. Sparse strata: some specimen types or departments may have few events, producing unstable capture-recapture or model estimates. Confounding and causality: retrospective observational data limit causal inference about predictors and interventions. Harm attribution limits: linking laboratory events to downstream clinical harm may be imprecise when multiple care processes interact. Model misspecification: overdispersion, zero inflation, or temporal autocorrelation may violate model assumptions and bias estimates if decision rules are not followed. Privacy/DUA constraints: access to identifiable fields for linkage may be restricted, limiting match quality. Generalizability: single-hospital results and taxonomy mappings may not transfer directly to other institutions. Resource limits: clerical review, sentinel audits, and bootstrapping (10,000 reps) require time and compute. Legal/reputational risk: reporting adjusted higher error rates may have institutional implications that affect reporting behavior.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