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lab_errors_3yr_analysis</w:t>
      </w:r>
    </w:p>
    <w:p>
      <w:r>
        <w:t xml:space="preserve"> </w:t>
      </w:r>
    </w:p>
    <w:p>
      <w:pPr>
        <w:pStyle w:val="Heading2"/>
      </w:pPr>
      <w:r>
        <w:t>Title</w:t>
      </w:r>
    </w:p>
    <w:p>
      <w:r>
        <w:t>Retrospective analysis of laboratory testing errors using descriptive statistics, six-sigma metrics, and mixed-effects negative-binomial models to quantify errors across pre-analytical, analytical, and post-analytical phases</w:t>
      </w:r>
    </w:p>
    <w:p>
      <w:r>
        <w:t xml:space="preserve"> </w:t>
      </w:r>
    </w:p>
    <w:p>
      <w:pPr>
        <w:pStyle w:val="Heading2"/>
      </w:pPr>
      <w:r>
        <w:t>Short Hypothesis</w:t>
      </w:r>
    </w:p>
    <w:p>
      <w:r>
        <w:t>Targeted corrective actions (CAPA) chosen from an integrated analysis that links LIS error records with instrument, reagent, and QC logs and modeled by mixed-effects negative-binomial regression will reduce the targeted laboratory error rate by at least 20% within an 8-week pilot period.</w:t>
      </w:r>
    </w:p>
    <w:p>
      <w:r>
        <w:t xml:space="preserve"> </w:t>
      </w:r>
    </w:p>
    <w:p>
      <w:pPr>
        <w:pStyle w:val="Heading2"/>
      </w:pPr>
      <w:r>
        <w:t>Related Work</w:t>
      </w:r>
    </w:p>
    <w:p>
      <w:r>
        <w:t>Prior work on laboratory error measurement often uses descriptive audits, Six Sigma process metrics, and control charts (Shewhart, EWMA) to report error rates and monitor quality. Some studies focus on pre-analytical events (sample labeling, collection) while others examine analytical performance using QC/EQA trends. Common approaches include simple rate calculations (errors per tests) and cartoon-style root-cause analyses (Fishbone, 5 Whys). Limitations in existing studies are: small or single-site samples limiting generality; separation of phases (pre/analytical vs analytical) rather than full total-testing-process views; scant linkage of instrument middleware, reagent-lot, and calibration logs to individual test events; weak statistical models that ignore clustering and overdispersion; limited reproducible ETL and provenance for audit; and infrequent integration of human-factors observations. These gaps reduce ability to attribute causes precisely and to prioritize high-impact CAPA rigorously.</w:t>
      </w:r>
    </w:p>
    <w:p>
      <w:r>
        <w:t xml:space="preserve"> </w:t>
      </w:r>
    </w:p>
    <w:p>
      <w:pPr>
        <w:pStyle w:val="Heading2"/>
      </w:pPr>
      <w:r>
        <w:t>Abstract</w:t>
      </w:r>
    </w:p>
    <w:p>
      <w:r>
        <w:t>We address preventable laboratory errors across the total testing process by combining a three-year retrospective extraction of laboratory information system (LIS) error records with instrument middleware logs, reagent-lot histories, QC/EQA results, and specimen quality indices. Our approach standardizes an IFCC/NCCLS-adapted taxonomy, builds an auditable ETL pipeline with HMAC-salted deterministic linkage, and applies descriptive statistics, six-sigma metrics, and mixed-effects negative-binomial regression (a count model that handles extra variability) to quantify error rates by phase and specimen source. We integrate explainable machine-learning outputs (SHAP values) and structured human-factors observations to produce a reproducible, scored CAPA prioritization. Main contributions are (1) an end-to-end, ISO-15189–ready provenance model for error attribution, (2) a statistical pipeline that accounts for clustering by instrument and ward and temporal trends, and (3) an operational PDSA pilot design with explicit success criteria. Expected outcome is identification of high-impact, actionable interventions that measurably reduce preventable errors without harming turnaround time or patient safety.</w:t>
      </w:r>
    </w:p>
    <w:p>
      <w:r>
        <w:t xml:space="preserve"> </w:t>
      </w:r>
    </w:p>
    <w:p>
      <w:pPr>
        <w:pStyle w:val="Heading2"/>
      </w:pPr>
      <w:r>
        <w:t>Experiments</w:t>
      </w:r>
    </w:p>
    <w:p>
      <w:r>
        <w:t>Datasets: complete LIS extract 2021–2023 (accession/order ID, pseudonymized encounter ID, test ID/LOINC, specimen type, timestamps, operator/shift, instrument ID, middleware error codes, repeat/redo flags, CAPA links); instrument middleware logs (error codes, timestamps); reagent-lot activation logs; calibration/maintenance events; QC/EQA result logs; EHR-derived clinical proxies (repeat orders, treatment changes, length-of-stay). Baselines: (A) descriptive rates (errors per 1,000 tests) and Shewhart p-charts; (B) negative-binomial regression without random effects; (C) zero-inflated negative-binomial; (D) models ignoring instrument/reagent linkage. Primary model: negative-binomial mixed-effects regression of daily error counts with offset = log(total tests), random intercepts for instrument and ward, optional random month intercept; covariates: workload (tests/shift), operator experience, hemolysis/icterus/lipemia indices (H/I/L), reagent-lot change indicators, calibration/QC-failure windows, and spline term for seasonality. Explainability: train tree-based model (e.g., gradient boosting) for error prediction and compute SHAP values to rank drivers (SHAP: simple explanation of each feature's contribution). Missing data: assess mechanism, apply MICE (multiple imputation by chained equations) with predictive mean matching for skewed continuous fields. Linkage validation: stratified clerical review sample n=300–400 across instruments, shifts, specimen types; report PPV and sensitivity by stratum. PDSA pilot: select top CAPA target, run 6–8 weeks or until 500–1,000 targeted tests, monitor weekly with EWMA (λ=0.2) and CUSUM for small shifts; success if ≥20% relative reduction or absolute rate &lt;5 per 1,000 and no TAT increase &gt;10%. Ablation studies: compare full model vs (1) no instrument/reagent linkage, (2) no specimen quality indices, (3) fixed-effects-only model, and (4) zero-inflated alternatives. Evaluation metrics: errors per 1,000 tests, incidence rate ratios (IRR) with 95% CI, attributable cases per 1,000 tests (absolute change), control-chart alarm lead-time, linkage PPV and sensitivity, and TAT percentiles. Reproducibility: all ETL and analysis in Docker with Git, seeded random states, and archived provenance logs.</w:t>
      </w:r>
    </w:p>
    <w:p>
      <w:r>
        <w:t xml:space="preserve"> </w:t>
      </w:r>
    </w:p>
    <w:p>
      <w:pPr>
        <w:pStyle w:val="Heading2"/>
      </w:pPr>
      <w:r>
        <w:t>Risk Factors And Limitations</w:t>
      </w:r>
    </w:p>
    <w:p>
      <w:r>
        <w:t>Incomplete linkage: missing accession IDs or inconsistent timestamps may cause mislinking and biased attribution. Misclassification bias: inconsistent error coding or taxonomy drift over time may confound phase assignment. Missing-data mechanism: if data are not missing at random, imputation may be biased. Low counts for rare but critical errors: limited power to detect change for rare events. Instrument log heterogeneity: different vendors/log formats complicate parsing and may lose details. Human factors compliance: frontline adherence to CAPA or observation protocols may vary. Confounding and residual bias: unmeasured variables (e.g., sudden staffing changes) may bias IRR estimates. Generalizability: single-hospital results may not transfer to other settings with different workflows. Operational risk: pilots might unintentionally affect turnaround time (TAT) or clinical workflows. Compute and governance limits: secure-key management and compute resources must be available to run reproducible ETL and modeling pipelines.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