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Evaluation of anion gap and albumin-corrected anion gap to predict elevated serum lactate in emergency department patients with sepsis without shock using ROC analysis</w:t>
      </w:r>
    </w:p>
    <w:p>
      <w:r>
        <w:t xml:space="preserve"> </w:t>
      </w:r>
    </w:p>
    <w:p>
      <w:pPr>
        <w:pStyle w:val="Heading2"/>
      </w:pPr>
      <w:r>
        <w:t>Short Hypothesis</w:t>
      </w:r>
    </w:p>
    <w:p>
      <w:r>
        <w:t>Higher anion gap values, including albumin-corrected anion gap (AGcorr), measured at ED presentation cause a greater probability of elevated serum lactate (≥2.0 mmol/L and ≥4.0 mmol/L) in adult patients with sepsis without shock, independent of renal function, liver dysfunction, and illness severity.</w:t>
      </w:r>
    </w:p>
    <w:p>
      <w:r>
        <w:t xml:space="preserve"> </w:t>
      </w:r>
    </w:p>
    <w:p>
      <w:pPr>
        <w:pStyle w:val="Heading2"/>
      </w:pPr>
      <w:r>
        <w:t>Related Work</w:t>
      </w:r>
    </w:p>
    <w:p>
      <w:r>
        <w:t>Existing approaches use serum lactate as a marker of tissue hypoperfusion and sepsis severity, and anion gap (AG) as a simple lab index of metabolic acidosis. Prior studies have shown correlations between AG and lactate in mixed or shock populations, but limitations include single-center samples, inclusion of patients with shock or dialysis, lack of albumin correction (AGcorr), inconsistent timing between labs, limited adjustment for confounders (renal/liver dysfunction, illness severity), small samples that prevent stable ROC-based cutpoints, and little external validation. No prior work has combined strict lab-timing rules, albumin correction, robust causal-sensitivity analyses (time-updated confounding), and prespecified ROC-derived rule-in/rule-out thresholds across multicenter ED cohorts.</w:t>
      </w:r>
    </w:p>
    <w:p>
      <w:r>
        <w:t xml:space="preserve"> </w:t>
      </w:r>
    </w:p>
    <w:p>
      <w:pPr>
        <w:pStyle w:val="Heading2"/>
      </w:pPr>
      <w:r>
        <w:t>Abstract</w:t>
      </w:r>
    </w:p>
    <w:p>
      <w:r>
        <w:t>We address whether the routine anion gap (AG) and an albumin-corrected AG (AGcorr) predict elevated serum lactate in adults with sepsis who are not in shock in the emergency department. Using time-paired laboratory data, we propose to model AG and AGcorr continuously and to derive and validate ROC-based thresholds for lactate ≥2.0 mmol/L and ≥4.0 mmol/L. The main contribution is a reproducible evaluation that combines multivariable spline-based logistic models, time-updated causal sensitivity analyses, and site-level assay harmonization to isolate AG signal from confounding by renal or hepatic dysfunction. Expected outcomes are (1) performance benchmarks (AUC, sensitivity, specificity, predictive values, calibration) for AG and AGcorr, (2) provisional rule-out and rule-in AGcorr thresholds, and (3) reproducible analytic artifacts (seeded code, DAG, QC SOP) to guide clinical validation and safe EHR implementation. Findings aim to inform rapid triage decisions where lactate is delayed or unavailable.</w:t>
      </w:r>
    </w:p>
    <w:p>
      <w:r>
        <w:t xml:space="preserve"> </w:t>
      </w:r>
    </w:p>
    <w:p>
      <w:pPr>
        <w:pStyle w:val="Heading2"/>
      </w:pPr>
      <w:r>
        <w:t>Experiments</w:t>
      </w:r>
    </w:p>
    <w:p>
      <w:r>
        <w:t>Datasets: Multicenter retrospective ED cohort of adults ≥18 with suspected infection and sepsis without shock, requiring BMP (Na, Cl, HCO3, albumin) and serum lactate drawn within ≤60 minutes of each other and within 3 hours of ED arrival. Exclusions: DKA, ESRD on dialysis, toxic alcohols, recent massive transfusion/hemorrhagic shock, vasopressors prior to index labs. Target N ≈700 (500–800). Baselines: 1) SOFA/qSOFA alone; 2) AG alone; 3) AGcorr alone (AG + 2.5×(4.0−albumin[g/dL])); 4) SOFA + AG; 5) SOFA + AGcorr. Models: Primary—multivariable logistic regression for outcomes lactate ≥2.0 mmol/L and ≥4.0 mmol/L with AG/AGcorr as continuous predictors using restricted cubic splines (3 knots; splines = smooth piecewise polynomials to model nonlinearity). Adjust covariates: age, sex, creatinine/eGFR, albumin, diabetes/metformin, chronic liver disease, infection source, SOFA/qSOFA, time-from-arrival. Missing data: multiple imputation by chained equations (MICE) with ≥20 imputations (MICE = fills missing values by iterative models). Sensitivity analyses: IPW/marginal structural models (IPW = inverse-probability weights to adjust time-varying confounding), longitudinal TMLE (targeted maximum likelihood estimation with SuperLearner ensemble), measurement-error sims, alternative adjustment sets, and negative-control outcomes. Validation: internal bootstrap (2,000 resamples) for CIs and optimism-corrected AUC; if available, temporal/geographic external validation. Threshold derivation: ROC curves (AUC = area under ROC curve), choose candidate rule-out (prioritize sensitivity, e.g., sensitivity ≥95) and rule-in (prioritize specificity, e.g., specificity ≥95) AGcorr cutpoints; report bootstrap CIs for thresholds. Evaluation metrics: AUC, sensitivity, specificity, NPV, PPV, calibration intercept and slope, Brier score, IDI/NRI (reclassification metrics), decision curve analysis (net benefit), and operational metrics (time-to-lactate, NNT). Ablations: compare AG vs AGcorr; models with vs without albumin; models with vs without renal/liver covariates; effect of assay method (venous/arterial, enzymatic vs POC). Report IPW weight diagnostics (mean≈1, min/max, truncation percentiles) and positivity checks.</w:t>
      </w:r>
    </w:p>
    <w:p>
      <w:r>
        <w:t xml:space="preserve"> </w:t>
      </w:r>
    </w:p>
    <w:p>
      <w:pPr>
        <w:pStyle w:val="Heading2"/>
      </w:pPr>
      <w:r>
        <w:t>Risk Factors And Limitations</w:t>
      </w:r>
    </w:p>
    <w:p>
      <w:r>
        <w:t>Residual confounding: unmeasured illness severity or comorbidities may bias associations. Measurement error: inter-site assay differences, pre-analytical handling, and albumin assay variability can change AG/AGcorr. Missing data bias: nonrandom missing labs may affect imputations. Selection bias: requirement for paired labs within time window may select sicker or more tested patients. Low event counts: if lactate ≥2 prevalence is low, model instability and wide CIs may result. Positivity violations: rare covariate combinations may produce extreme IPW weights. Generalizability limits: results may not apply to pediatric patients, patients in shock, or centers with different lab platforms. Temporal drift: assay or practice changes over time may invalidate thresholds. Implementation risk: operational alerts based on imperfect thresholds can increase unnecessary testing or alert fatigue. Computational limits: ensemble learners (SuperLearner) and TMLE need compute resources and expertise, limiting reproducibility at resource-limited sites.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