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triherbal_antithromboinflammation_rat_study</w:t>
      </w:r>
    </w:p>
    <w:p>
      <w:r>
        <w:t xml:space="preserve"> </w:t>
      </w:r>
    </w:p>
    <w:p>
      <w:pPr>
        <w:pStyle w:val="Heading2"/>
      </w:pPr>
      <w:r>
        <w:t>Title</w:t>
      </w:r>
    </w:p>
    <w:p>
      <w:r>
        <w:t>Evaluation of a 1:1:1 aqueous triherbal extract for reduction of thromboinflammatory markers in streptozotocin‑induced diabetic rats</w:t>
      </w:r>
    </w:p>
    <w:p>
      <w:r>
        <w:t xml:space="preserve"> </w:t>
      </w:r>
    </w:p>
    <w:p>
      <w:pPr>
        <w:pStyle w:val="Heading2"/>
      </w:pPr>
      <w:r>
        <w:t>Short Hypothesis</w:t>
      </w:r>
    </w:p>
    <w:p>
      <w:r>
        <w:t>Daily oral administration of a 1:1:1 aqueous extract of Moringa oleifera, Ocimum gratissimum, and Vernonia amygdalina (150 mg/kg) for 28 days reduces thromboinflammatory blood and functional markers compared with diabetic vehicle‑treated rats.</w:t>
      </w:r>
    </w:p>
    <w:p>
      <w:r>
        <w:t xml:space="preserve"> </w:t>
      </w:r>
    </w:p>
    <w:p>
      <w:pPr>
        <w:pStyle w:val="Heading2"/>
      </w:pPr>
      <w:r>
        <w:t>Related Work</w:t>
      </w:r>
    </w:p>
    <w:p>
      <w:r>
        <w:t>Existing studies test single‑herb extracts or simple combinations for anti‑inflammatory or antiplatelet effects in diabetes models, often reporting reductions in cytokines or platelet aggregation. Limitations include focus on one herb at a time, lack of standardized chemical fingerprinting, small or underpowered cohorts, limited functional thrombosis assays (many studies measure only platelet counts or in vitro aggregation), and few dose‑response or component‑contribution analyses. Analytical characterization is often incomplete (no validated marker assays or batch fingerprints), making reproducibility and PK/PD linking weak. Mechanistic links to innate immune drivers of thromboinflammation (e.g., NETs, inflammasome) are infrequently tested, and causal interventions (pathway inhibitors, cell depletion) are rarely used to establish mechanism.</w:t>
      </w:r>
    </w:p>
    <w:p>
      <w:r>
        <w:t xml:space="preserve"> </w:t>
      </w:r>
    </w:p>
    <w:p>
      <w:pPr>
        <w:pStyle w:val="Heading2"/>
      </w:pPr>
      <w:r>
        <w:t>Abstract</w:t>
      </w:r>
    </w:p>
    <w:p>
      <w:r>
        <w:t>Diabetic vascular disease involves low‑grade inflammation that promotes platelet activation and thrombosis. We will test whether a blended aqueous extract (1:1:1) of Moringa oleifera, Ocimum gratissimum, and Vernonia amygdalina reduces thromboinflammatory markers in streptozotocin‑induced diabetic rats. The study combines acute toxicity screening, chemical standardization of the extract, and a 28‑day oral treatment at 150 mg/kg. Endpoints include hematology (platelets, white blood cells), functional thrombosis tests (ferric‑chloride carotid occlusion, thromboelastography, platelet aggregometry), and molecular inflammation markers (multiplex cytokines, NET markers). Primary contribution is an integrated, reproducible pipeline linking a standardized triherbal formulation to functional thrombotic outcomes and circulating inflammatory mediators in diabetes. Expected outcome is evidence whether the blend yields greater antithromboinflammatory benefit than individual herbs or vehicle, with data to guide mechanistic follow‑ups and standardized extract release criteria for reproducibility.</w:t>
      </w:r>
    </w:p>
    <w:p>
      <w:r>
        <w:t xml:space="preserve"> </w:t>
      </w:r>
    </w:p>
    <w:p>
      <w:pPr>
        <w:pStyle w:val="Heading2"/>
      </w:pPr>
      <w:r>
        <w:t>Experiments</w:t>
      </w:r>
    </w:p>
    <w:p>
      <w:r>
        <w:t>Animal model and cohorts: adult male Sprague–Dawley rats; diabetes induced by single low‑dose streptozotocin (STZ) after overnight fasting; confirm hyperglycemia (fasting glucose ≥200 mg/dL) before randomization. Groups (n=8 per group): healthy control, diabetic+vehicle, diabetic+Moringa 150 mg/kg, diabetic+Ocimum 150 mg/kg, diabetic+Vernonia 150 mg/kg, diabetic+triherbal blend 150 mg/kg, diabetic+positive control (aspirin 30 mg/kg). Ablation subgroups (n=8 each): blend minus one herb (three groups) to assess component contributions. Acute toxicity: Lorke method prior to efficacy study. Dosing: oral gavage once daily for 28 days; dosing suspension 0.5% carboxymethylcellulose. Endpoints and timepoints: baseline (pre‑dose), mid‑treatment (day 14), terminal (day 28). Primary endpoints: ferric‑chloride carotid occlusion time (time in seconds until stable occlusion), thromboelastography (TEG) parameters R, K, MA, clot strength (MA), and platelet aggregometry (ADP and collagen responses). Secondary endpoints: automated hematology (platelet count, MPV, WBC), multiplex cytokines (TNF‑α, IL‑1β, IL‑6, IL‑18, IL‑10), NET markers (plasma cfDNA, citrullinated histone H3), and LC‑MS quantification of extract markers for batch verification. Baselines and technical details: process plasma within 30 min into EDTA + 0.05% BHT, store at −80°C. Analytical baselines: batch fingerprint similarity threshold ≥0.90 and marker assay acceptance ±10%. Evaluation metrics: mean differences and 95% CI, ANOVA with Tukey post hoc for group comparisons, mixed‑effects model for repeated measures, effect size (Cohen’s d), and significance at α=0.05. Ablation/comparison: compare blend vs each individual herb and blend vs ablation groups to attribute effects to components. Power and pilot: pilot variance cohort n=6 per group to estimate SDs and confirm n=8 for ≥80% power for primary endpoints. Data reproducibility: replicate assay runs (technical triplicates for LC‑MS), randomization and blinding of outcome assessors.</w:t>
      </w:r>
    </w:p>
    <w:p>
      <w:r>
        <w:t xml:space="preserve"> </w:t>
      </w:r>
    </w:p>
    <w:p>
      <w:pPr>
        <w:pStyle w:val="Heading2"/>
      </w:pPr>
      <w:r>
        <w:t>Risk Factors And Limitations</w:t>
      </w:r>
    </w:p>
    <w:p>
      <w:r>
        <w:t>Model and translational limits: STZ model mimics insulin‑deficient diabetes and may not represent all human diabetic vascular phenotypes. Biological variability: inter‑animal variance in thrombotic assays may require larger sample sizes; pilot SDs may under‑estimate true variance. Extract standardization: natural product batch variability could confound results if markers or fingerprints shift between batches. Analytical failure modes: matrix effects in LC‑MS or cytokine assays may bias quantification if ISTDs are unavailable or poorly matched. Mechanistic ambiguity: correlative reductions in cytokines or NETs do not prove causality without intervention arms. Safety and dosing: unforeseen toxicity at chosen dose may force dose adjustments and alter power. Endpoint constraints: ferric‑chloride occlusion is sensitive to protocol differences (injury size, electrode placement), limiting reproducibility across labs. Generalization: results in male rats may not apply to females or other species. Resource limits: running comprehensive functional, molecular, and analytical panels is resource‑intensive and may limit sample throughput.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