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fcm_trust_cdss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clinicians' perceived trust in interpretable COVID-19 clinical decision support using fuzzy cognitive maps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Exposing clinicians to explanations with higher automated fidelity causes improved trust calibration, measured as a smaller absolute difference between clinician-reported trust and model performance on each vignette, compared to low-fidelity explanations or no explanations.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explainable clinical decision support centers on local feature attributions (e.g., SHAP-style scores), counterfactual explanations (showing minimal input changes that alter a prediction), example-based retrieval (similar cases), and natural-language rationales. Separately, human factors and automation-trust research use scales (adapted Trust-in-Automation) and calibration metrics (calibration curves, Brier score) to study clinician confidence. Limitations in current approaches include: (1) explanation fidelity metrics are often unvalidated against clinician mental models and may not predict behavior; (2) most studies test single explanation types or observationally measure trust rather than using multi-arm randomized designs that enable causal inference; (3) few methods elicit and quantify clinicians' internal trust models, so mapping between explanation content and perceived trust is undercharacterized; (4) privacy-preserving synthetic-data and reproducible logging pipelines are rarely integrated with multimodal fidelity measurement and psychometrics.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method to assess and quantify clinicians' perceived trust in an interpretable machine learning clinical decision support system for COVID-19 diagnosis. The approach elicits clinicians' trust mental models using fuzzy cognitive maps (FCMs), which capture causal links and relative influence between explanation cues and trust elements in a simple graph form. We quantify agreement between elicited FCMs and automated explanation-fidelity metrics using a degree-of-agreement score. In a randomized, multi-arm vignette study comparing no-explanation control, local attributions, counterfactuals, example-based, and concise natural-language rationales, we will measure trust calibration (alignment of reported trust with model performance), decision concordance with expert adjudication, and behavioral metrics. Main contributions are: (1) an FCM-based elicitation protocol for perceived trust; (2) a degree-of-agreement validation metric linking automated fidelity to clinician mental models; and (3) a preregistered experimental design with safeguards to detect anchoring and overtrust. Expected outcomes include validated trust measures and evidence on which explanation types and fidelity properties align with calibrated clinician trust.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a FHIR-compliant synthetic seed (Synthea augmented with CTGAN) with curated vignette set: ~20 pilot vignettes spanning ED chest pain, inpatient sepsis, outpatient anticoagulation, renal dosing, and imaging-assist; ground-truth labels and expert-adjudication metadata included. Baselines: no-explanation control; confidence-only (model probability); local sparse attributions (constrained SHAP-style); counterfactual explanations (minimal clinically plausible changes); example-based (1–3 prototypical cases with provenance); concise templated natural-language rationales (10/20/40 words). Metrics: primary: trust calibration per vignette (calibration curve slope/intercept, Brier score, absolute trust-performance gap). Secondary: decision concordance vs expert panel (binary), override rate, time-to-decision (ms), NASA-TLX (cognitive load), SUS (usability), anchoring rate (pre/post change rules), automated fidelity metrics (local_fidelity = Δprediction when top-k removed; faithfulness = Spearman rho between attribution rank and output change; stability = normalized std under small perturbations; plausibility = % overlap with expert salient features; minimality = #feature changes for counterfactuals; representativeness = distance-to-cluster-centroid for examples), and mediation estimates. Design: randomized crossover with balanced Latin-square at vignette-block level; pilot n≈20 clinicians (within-subject), full n≈60–80 clinicians; randomize explanation type and density levels (top-1/top-3/top-5; 10/20/40-word rationales) within blocks. Safeguards: mandatory independent-rationale probe on 30% of trials before explanations; 10% randomized no-explanation trials. Statistical analysis: linear mixed-effects models for trust (fixed effects: explanation_type, case_difficulty, fidelity_metrics; random intercepts clinician and vignette), GLMMs for binary outcomes, multilevel mediation (explanation_type → fidelity_composite → perceived_trust → decision_concordance) with bootstrap CIs, and ablation: compare density levels and presence/absence of safeguards. Fidelity validation: expert-rating subset (≈200 vignette ratings by 6 clinicians) to compute ICC target &gt;0.7 and calibration plots between automated metrics and expert judgments.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FCM elicitation variability: clinicians may construct inconsistent fuzzy cognitive maps, yielding noisy agreement scores. Fidelity metric noise: automated metrics may poorly predict clinician judgments or behavior. Synthetic data bias: Synthea+CTGAN may not preserve rare but critical clinical co‑occurrences, limiting external validity. Privacy risk: synthetic-to-real re-identification or insufficient DP guarantees. Confounding factors: time pressure, fatigue, or cognitive load may drive trust changes independent of explanation content. Anchoring harm: explanations could induce harmful overrides even if calibrated metrics improve. Scalability: real-time generation of counterfactuals or fidelity tests may be computationally intensive. Generalization limits: results from COVID-19 vignettes and sampled specialties may not transfer to other diseases or care settings. Missing data: nonresponse or incomplete telemetry may bias mixed-effects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