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ptb_pos_anomaly_detection</w:t>
      </w:r>
    </w:p>
    <w:p>
      <w:r>
        <w:t xml:space="preserve"> </w:t>
      </w:r>
    </w:p>
    <w:p>
      <w:pPr>
        <w:pStyle w:val="Heading2"/>
      </w:pPr>
      <w:r>
        <w:t>Title</w:t>
      </w:r>
    </w:p>
    <w:p>
      <w:r>
        <w:t>Probability-distribution-based anomaly detection for automated identification of annotation errors in part-of-speech tagged corpora</w:t>
      </w:r>
    </w:p>
    <w:p>
      <w:r>
        <w:t xml:space="preserve"> </w:t>
      </w:r>
    </w:p>
    <w:p>
      <w:pPr>
        <w:pStyle w:val="Heading2"/>
      </w:pPr>
      <w:r>
        <w:t>Short Hypothesis</w:t>
      </w:r>
    </w:p>
    <w:p>
      <w:r>
        <w:t>Elements in a part-of-speech tagged corpus that have low likelihood under a probability distribution fitted to the corpus (statistical outliers) are more likely to be annotation errors than randomly sampled elements, and ranking by this low-likelihood score yields higher precision for detected annotation errors.</w:t>
      </w:r>
    </w:p>
    <w:p>
      <w:r>
        <w:t xml:space="preserve"> </w:t>
      </w:r>
    </w:p>
    <w:p>
      <w:pPr>
        <w:pStyle w:val="Heading2"/>
      </w:pPr>
      <w:r>
        <w:t>Related Work</w:t>
      </w:r>
    </w:p>
    <w:p>
      <w:r>
        <w:t>Prior work applies anomaly detection and density estimation to detect rare or corrupted examples using methods such as local outlier factor (LOF), Isolation Forest, autoencoder reconstruction error, normalizing flows, and energy-based models; others use contextual embeddings (vector representations of text) as input to these detectors. Corpus quality control often relies on inter-annotator disagreement, adjudication models (e.g., Dawid–Skene), and manual review. Active learning has been used to reduce annotation cost by selecting uncertain or informative items. Synthetic augmentation (simulated OCR noise, value swaps) has been used to train models to recognize errors. Limitations remain: detectors are sensitive to representation choice and calibration (probability estimates may be misaligned); autoencoder or reconstruction signals can miss semantic annotation errors; synthetic augmentations can introduce distribution mismatch; few pipelines jointly integrate adjudication-derived label priors, per-severity evaluation, strict leakage checks, and operational metrics like precision@k calibrated to human-review budgets.</w:t>
      </w:r>
    </w:p>
    <w:p>
      <w:r>
        <w:t xml:space="preserve"> </w:t>
      </w:r>
    </w:p>
    <w:p>
      <w:pPr>
        <w:pStyle w:val="Heading2"/>
      </w:pPr>
      <w:r>
        <w:t>Abstract</w:t>
      </w:r>
    </w:p>
    <w:p>
      <w:r>
        <w:t>We present a reproducible pipeline that fits a probability distribution over elements of a manually marked part-of-speech (POS) corpus and uses statistical anomaly detection to flag likely annotation errors. The core method models the joint distribution of POS-tagged tokens and their local context (tokens, tags, metadata) and ranks elements by their low-likelihood under the learned model; low-likelihood items are presented as potential annotation errors. Main contributions are (1) a combined modeling and evaluation protocol that compares density-based, reconstruction-based, and contrastive detectors on POS corpora; (2) integration of adjudication posteriors as soft training signals (annotator-weight priors) and controlled synthetic-augmentation regimes (0%, 5%, 10%, 30%) with explicit leakage detection; and (3) operational evaluation metrics prioritized for human review (AUPR, precision@k, per-severity F1, and calibration). Expected outcome: a measurable increase in precision of flagged annotation errors at fixed human-review budgets and clearer audit trails for adjudication and synthetic generation.</w:t>
      </w:r>
    </w:p>
    <w:p>
      <w:r>
        <w:t xml:space="preserve"> </w:t>
      </w:r>
    </w:p>
    <w:p>
      <w:pPr>
        <w:pStyle w:val="Heading2"/>
      </w:pPr>
      <w:r>
        <w:t>Experiments</w:t>
      </w:r>
    </w:p>
    <w:p>
      <w:r>
        <w:t>Datasets: Penn Treebank POS-tagged corpus (primary), reserved natural-distribution holdout, and a balanced error-type test set constructed via stratified sampling; splits stored with provenance (ids, seeds, checksums). Baselines: random sampling; simple rule-based heuristics (e.g., tag-token contradiction rules); embedding+LOF (sentence/document embeddings then Local Outlier Factor); IsolationForest on the same features; transformer autoencoder (reconstruction error); multitask transformer (anomaly score + error_type + severity heads); contrastive encoder with realistic negatives. Detectors and representations: evaluate off-the-shelf embeddings, fine-tuned language model embeddings, and contrastive-fine-tuned encoders. Adjudication methods: Dawid–Skene baseline and hierarchical Bayesian adjudicator; convert posterior P(true|annotations) to soft targets and instance weights clipped to [0.1,0.95]. Synthetic regimes: train mixes at 0%, 5%, 10%, 30% synthetic; validation/test synthetic capped ≤5%. Active learning grid: scoring = anomaly_rank^α × uncertainty^β × diversity_bonus / cost_time with α,β ∈ {0,0.5,1,2}; diversity via k-center and submodular selection. Evaluation metrics: primary AUPR (average precision), precision@k (k=50,100,200), per-type and per-severity Precision/Recall/F1, ECE and Brier score for calibration, recall@budget, detection latency; compute stratified bootstrap 95% CIs (10,000 iterations, fixed seed). Statistical tests: paired stratified bootstrap for ranking comparisons, permutation tests, and McNemar for paired binary decisions; correct multiple comparisons with Benjamini–Hochberg. Ablations: representation type, detector family, synthetic fraction, adjudication-weight conversion, AL α/β grid, and diversity method. Reproducibility: containerized runs, DVC/MLflow tracking, fixed seeds, augmentation diffs, and leakage checks (normalized-hash, simhash, n-gram overlap).</w:t>
      </w:r>
    </w:p>
    <w:p>
      <w:r>
        <w:t xml:space="preserve"> </w:t>
      </w:r>
    </w:p>
    <w:p>
      <w:pPr>
        <w:pStyle w:val="Heading2"/>
      </w:pPr>
      <w:r>
        <w:t>Risk Factors And Limitations</w:t>
      </w:r>
    </w:p>
    <w:p>
      <w:r>
        <w:t>False positives: low-likelihood items may be rare but correct language use, causing wasted human review; false negatives: semantic annotation errors that do not change surface statistics can be missed. Representation sensitivity: performance depends strongly on chosen embeddings and context window. Synthetic mismatch: generated errors may not match real error distributions, harming generalization. Adjudication bias: annotator systematic errors can bias priors and degrade model behavior. Low prevalence: statistical metrics and confidence intervals are unstable when annotation errors are very rare. Compute and scalability: density estimators and transformer-based detectors require substantial compute for training and scoring large corpora. Privacy and governance: clinical corpora require strict access controls; reproducibility artifacts must avoid exposing sensitive data. Leakage risk: synthetic or augmented items may leak into test splits without strict fingerprinting. Domain limits: methods validated on Penn Treebank POS data may not generalize to other languages, genres, or non-POS annotation types.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