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probabilistic_smooth_attention_mil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Probabilistic smooth-attention multiple instance learning for uncertainty-aware localization in medical imaging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Adding spatial smoothness priors (GMRF, TV, or low-rank GP) to a probabilistic attention posterior in MIL causes improved lesion localization (higher IoU/FROC) and better calibration (lower ECE/Brier) than deterministic attention under identical training data and compute.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multiple instance learning (MIL) methods for medical imaging typically use deterministic attention or simple pooling to aggregate tile features; these methods provide coarse localization but do not quantify uncertainty and often ignore spatial tile relationships. Probabilistic or Bayesian attention approaches produce per-instance uncertainty but generally omit explicit spatial priors, limiting spatial coherence of attention maps. Spatial regularizers have been used in other imaging tasks: Gaussian Markov Random Fields (GMRF) enforce local smoothness by penalizing differences between neighboring tiles; Total Variation (TV) encourages piecewise-constant regions allowing sharp boundaries; Gaussian Processes (GP) model long-range correlations but are costly for large grids. Limitations: deterministic attention is not uncertainty-aware and can be poorly calibrated; probabilistic attention without spatial structure yields noisy, fragmented maps; pure GP methods face scalability and memory bottlenecks on whole-slide images; TV can produce blocky maps and lacks long-range context; GMRF captures only local interactions. No existing approach combines a scalable probabilistic attention posterior with explicit local and global spatial priors and evaluates its uncertainty for active learning in MIL at WSI scale.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weakly supervised localization and uncertainty estimation in multiple instance learning (MIL) for medical imaging, where slide-level labels must be mapped to tile-level importance. We propose a probabilistic attention framework that models an attention distribution per tile and imposes spatial smoothness via three priors: a Gaussian Markov Random Field (GMRF) for local coherence, Total Variation (TV) for sharp boundaries, and a low-rank Gaussian Process (GP) for long-range correlation. The method uses amortized variational inference to output per-tile mean and variance of attention, enabling uncertainty-aware attention maps for localization and active learning. The main contribution is the unified comparison of probabilistic attention variants with explicit spatial priors at whole-slide scale, together with uncertainty metrics and active-learning experiments that use attention variance as an acquisition signal. We expect smoother, better-calibrated attention maps that improve lesion localization metrics and provide useful uncertainty estimates for cost-aware annotation selection. This work targets scalable, interpretable MIL for histopathology and other large medical images.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Primary: CAMELYON16 and CAMELYON17 (breast histopathology WSIs); selected TCGA subsets (breast, lung) for multi-site variability. Secondary: BRATS (brain MRI) and LIDC-IDRI (lung CT) for cross-modality probes. Data splits: site-stratified train/val/test with no slide leakage; leave-one-site-out experiments for domain-shift analysis. Baselines: (1) deterministic soft-attention MIL; (2) probabilistic attention MIL without spatial prior; (3) probabilistic attention + GMRF prior; (4) probabilistic attention + TV prior; (5) probabilistic attention + low-rank GP prior. Ablations: coarse-to-fine MAP on/off; inducing-point counts {32,64,128}; block size and overlap variations. Metrics: slide-level ROC AUC, PR-AUC, sensitivity@95% specificity; localization: lesion-level FROC, IoU and Dice on dense masks, attention-coverage (fraction of GT pixels within top-K% attention mass, K={5,10,20}); calibration: Expected Calibration Error (ECE), Brier score, reliability diagrams; uncertainty: per-tile posterior variance and Spearman correlation with inter-rater difficulty and annotation time. Training and inference: tile size 256–512 px at chosen magnification (recorded in metadata), fixed deterministic tiling, stain normalization (Macenko) variants tested. Inference method: amortized variational inference (VI) for scale; fallback MAP coarse-to-fine for memory-constrained runs. Hyperparameters: TV λ grid in logspace [1e-4,1e0] (3 values), GMRF precision grid [1e-3,1e2] (3 values), GP inducing {32,64,128}, VI temperature {0.01,0.1,1.0}, KL weight {0.1,0.5,1.0}. Randomization: ≥5 seeds per config. Statistical tests: DeLong for AUC comparisons, bootstrap (≥1000 samples) for 95% CIs, paired permutation tests for ablations. Active learning: measure t_tile and t_slide from pilot annotations; simulate acquisition under cost C = n_tiles·t_tile + n_slides·t_slide. Acquisition functions compared: posterior variance, predictive entropy, BALD approximation, and variance×boundary hybrid; evaluate tile batches {50,100,200} and slide batches {5,10,20}; report localization gain per unit cost. Scalability profiling: measure memory and throughput for low-rank GP with inducing {32,64,128} and block sizes with overlap ratios {0.1,0.25,0.5}; report recommended defaults.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VI may produce poor posterior calibration if optimization collapses or KL weights are mis-set; GP inducing points may not capture long-range structure at low counts; TV regularization may oversmooth small lesions or create blocky artifacts. Data and evaluation biases: public datasets may not represent clinical variability; inter-annotator disagreement in dense masks limits ground-truth fidelity; tile sampling and magnification choices affect localization metrics. Scalability and compute: full WSIs are large—GP and dense graph priors can exceed memory on typical hardware; amortized VI and block partitioning add engineering complexity. Limits to generalization: results on histopathology may not transfer unchanged to other modalities; smoothness priors assume spatial coherence and may fail for highly dispersed or microscopic lesion patterns. Statistical limits: detecting moderate correlation between variance and difficulty requires sufficient dense annotations (pilot may be underpowered). Regulatory and clinical adoption: attention maps are interpretive aids, not definitive diagnoses; uncertainty estimates may be misused if calibration is imperfect.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