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xai_mri_distal_myopathy_pilot</w:t>
      </w:r>
    </w:p>
    <w:p>
      <w:r>
        <w:t xml:space="preserve"> </w:t>
      </w:r>
    </w:p>
    <w:p>
      <w:pPr>
        <w:pStyle w:val="Heading2"/>
      </w:pPr>
      <w:r>
        <w:t>Title</w:t>
      </w:r>
    </w:p>
    <w:p>
      <w:r>
        <w:t>Hierarchical occlusion and ensemble explainable AI for MRI diagnostic support of distal myopathies</w:t>
      </w:r>
    </w:p>
    <w:p>
      <w:r>
        <w:t xml:space="preserve"> </w:t>
      </w:r>
    </w:p>
    <w:p>
      <w:pPr>
        <w:pStyle w:val="Heading2"/>
      </w:pPr>
      <w:r>
        <w:t>Short Hypothesis</w:t>
      </w:r>
    </w:p>
    <w:p>
      <w:r>
        <w:t>An ensemble of explainable AI methods augmented by hierarchical occlusion will increase explanation localization fidelity and improve radiologist diagnostic performance on MRI for distal myopathies compared to model outputs without the ensemble explanations.</w:t>
      </w:r>
    </w:p>
    <w:p>
      <w:r>
        <w:t xml:space="preserve"> </w:t>
      </w:r>
    </w:p>
    <w:p>
      <w:pPr>
        <w:pStyle w:val="Heading2"/>
      </w:pPr>
      <w:r>
        <w:t>Related Work</w:t>
      </w:r>
    </w:p>
    <w:p>
      <w:r>
        <w:t>Existing explainability methods fall into several families: gradient-based saliency (e.g., Grad-CAM, SmoothGrad) which highlight pixels or voxels by model gradients; integrated gradients which sum gradients along an input path; concept-based methods (e.g., TCAV) which test sensitivity to learned semantic concepts; surrogate local models (e.g., LIME, decision-tree surrogates) which approximate model behavior locally; and counterfactual generators which produce alternative images to show how predictions change. Limitations across these approaches include instability under small input changes, sensitivity to preprocessing and reconstruction differences, poor voxelwise localization on volumetric medical images, ambiguous semantics for clinicians (saliency intensity does not map directly to clinical concepts), differing output formats that prevent direct comparison, and scarce evaluation on multi-vendor MRI or using raw k-space provenance. Prior work rarely combines multiple explanation types into a single, clinician-oriented visualization, rarely operationalizes sufficiency/comprehensiveness tests (masking-in/out) at scale, and seldom assesses explanations with multi-reader clinical studies linked to regulatory-grade provenance.</w:t>
      </w:r>
    </w:p>
    <w:p>
      <w:r>
        <w:t xml:space="preserve"> </w:t>
      </w:r>
    </w:p>
    <w:p>
      <w:pPr>
        <w:pStyle w:val="Heading2"/>
      </w:pPr>
      <w:r>
        <w:t>Abstract</w:t>
      </w:r>
    </w:p>
    <w:p>
      <w:r>
        <w:t>We propose a reproducible pilot to assess the value of explainable AI for MRI-based diagnosis of distal myopathies. The approach generates volumetric explanations by applying multiple XAI methods and combining them through an ensemble framework, and introduces a hierarchical occlusion technique that evaluates explanation importance at nested spatial scales (from coarse regions to fine voxels). We standardize outputs as NIfTI importance maps and RadLex-aligned concept scores with immutable provenance, and evaluate explanations quantitatively via a preregistered composite XAI Value Score composed of localization fidelity, prediction impact, sufficiency/comprehensiveness, and stability under controlled perturbations. Clinical utility will be measured in a within-reader cross-over study with neuroradiologists and dual-reader voxelwise ground truth. Main contributions are (1) the hierarchical occlusion method for volumetric explanations, (2) an ensemble pipeline that refines multi-method outputs into clinician-oriented visualizations, and (3) a reproducible evaluation suite linking quantitative XAI metrics to radiologist performance and multi-vendor MRI provenance. Expected outcome: rigorous, auditable evidence on whether and how explanations improve trust and diagnostic accuracy for MRI in distal myopathies.</w:t>
      </w:r>
    </w:p>
    <w:p>
      <w:r>
        <w:t xml:space="preserve"> </w:t>
      </w:r>
    </w:p>
    <w:p>
      <w:pPr>
        <w:pStyle w:val="Heading2"/>
      </w:pPr>
      <w:r>
        <w:t>Experiments</w:t>
      </w:r>
    </w:p>
    <w:p>
      <w:r>
        <w:t>Datasets: Acquire 3-site multi-vendor 3T MRI (Siemens, GE, Philips) with raw k-space; include physical phantoms (ISMRM/NIST) and digital Bloch/BrainWeb-derived numerical phantoms with implanted lesions. Hold out one site for external validation. Include preprocessing branches: raw, denoised, bias-corrected, motion-corrected, distortion-corrected, intensity-normalized, and vendor reconstructions. Baselines: (A) model predictions without explanations; (B) single-method explanations: Grad-CAM, SmoothGrad, Integrated Gradients, TCAV (concept scores), LIME/tree surrogate, and conditional counterfactuals. Proposed methods: hierarchical occlusion alone, ensemble of methods without hierarchical occlusion, ensemble + hierarchical occlusion. Metrics: compute composite XAI Value Score (XVS) with components: localization Dice/IoU (weight 0.40), task ΔAUC/Δsensitivity (0.30), sufficiency/comprehensiveness via masking-in/out (0.20), and stability ICC(2,1) across perturbations (0.10). Also report bootstrap CIs, calibration (Brier), reading time, confidence, NASA-TLX, and qualitative plausibility scores. Perturbation grid: SNR = {40,20,10,5}, bias fields ±{10,20,30}%, rigid motion 0–10 mm/0–10°, ghosting 0–30%, vendor reconstruction variants (SENSE/GRAPPA/filtering). Sufficiency/comprehensiveness procedure: derive binary masks from percentiles {1,2,5,10,20,50}; for each mask compute model_score_masked_in = model(original * mask + baseline_outside) and model_score_masked_out = model(original * (1-mask) + baseline_inside) where baseline = local tissue mean or preregistered inpainting. Stability: compute ICC(2,1) of importance maps across perturbation replicates. Reader study: within-reader randomized cross-over with washout, 8–12 neuroradiologists, ~80 cases balanced by pathology/size/vendor, held-out site for externality. Statistical tests: mixed-effects models (fixed effects: explanation_presence, preprocessing_branch, perturbation_level; random intercepts: reader, case, site), DeLong test for AUC comparisons, bootstrap for CIs. Ablations: (1) remove hierarchical occlusion from ensemble, (2) single-method only vs ensemble, (3) vary mask-percentile baseline strategy, (4) test per-preprocessing branch performance. Acceptance criteria: detect ΔAUC ≈ 0.05 at 80% power under preregistered ICC assumptions (simulate with Stats Lead inputs). Reproducibility: containerize pipelines, record DataLad and container hashes, and store all XAI outputs as NIfTI + JSON provenance.</w:t>
      </w:r>
    </w:p>
    <w:p>
      <w:r>
        <w:t xml:space="preserve"> </w:t>
      </w:r>
    </w:p>
    <w:p>
      <w:pPr>
        <w:pStyle w:val="Heading2"/>
      </w:pPr>
      <w:r>
        <w:t>Risk Factors And Limitations</w:t>
      </w:r>
    </w:p>
    <w:p>
      <w:r>
        <w:t>Annotation variability: dual-reader masks may disagree, especially for small lesions, which reduces ground-truth reliability. Vendor and reconstruction heterogeneity: differing coil setups and proprietary reconstructions may cause nonbiological differences that affect both model and explanations. XAI instability: saliency and gradient methods can change with small input or preprocessing shifts, limiting clinical trust. Counterfactual realism: generative counterfactuals may produce physiologically implausible images. Computational cost: exhaustive masking-in/out, multi-method ensembles, and perturbation grids require high compute and storage. Sample size and power: limited pilot scale may underpower detection of small ΔAUC effects. Generalization: methods tuned to distal myopathies and specific MRI sequences may not transfer to other neuromuscular disorders or field strengths. Regulatory and privacy constraints: raw k-space sharing is sensitive and may limit external replication. Masking baseline choice: different inpainting or baseline strategies can change sufficiency/comprehensiveness results and bias comparisons.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