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w:t>
      </w:r>
    </w:p>
    <w:p>
      <w:r>
        <w:t xml:space="preserve"> </w:t>
      </w:r>
    </w:p>
    <w:p>
      <w:pPr>
        <w:pStyle w:val="Heading2"/>
      </w:pPr>
      <w:r>
        <w:t>Title</w:t>
      </w:r>
    </w:p>
    <w:p>
      <w:r>
        <w:t>Scale-aware adaptive supervised network for semi-supervised medical image segmentation with limited annotations</w:t>
      </w:r>
    </w:p>
    <w:p>
      <w:r>
        <w:t xml:space="preserve"> </w:t>
      </w:r>
    </w:p>
    <w:p>
      <w:pPr>
        <w:pStyle w:val="Heading2"/>
      </w:pPr>
      <w:r>
        <w:t>Short Hypothesis</w:t>
      </w:r>
    </w:p>
    <w:p>
      <w:r>
        <w:t>Combining scale-aware adaptive pixel-wise reweighting, 3D Fourier-domain view variance augmentation, and segmentation-regression consistency using signed distance maps increases lesion segmentation recall for small lesions under limited labeled data compared to a semi-supervised baseline without these components.</w:t>
      </w:r>
    </w:p>
    <w:p>
      <w:r>
        <w:t xml:space="preserve"> </w:t>
      </w:r>
    </w:p>
    <w:p>
      <w:pPr>
        <w:pStyle w:val="Heading2"/>
      </w:pPr>
      <w:r>
        <w:t>Related Work</w:t>
      </w:r>
    </w:p>
    <w:p>
      <w:r>
        <w:t>Existing methods for medical image segmentation under limited labels use semi-supervised consistency frameworks (for example mean-teacher and pseudo-labeling), multi-scale backbones such as feature pyramid network (FPN) and atrous spatial pyramid pooling (ASPP) for handling size variation, and weak supervision techniques (multi-instance learning) for sparse labels. Prior works incorporate uncertainty estimation to weight pseudo-labels and use self-supervised pretraining to improve representations. Few approaches explicitly model inter-annotator variability or simulate realistic view changes in 3D; most data augmentations operate in image space, not the 3D Fourier domain. Boundary precision is sometimes improved by auxiliary regression tasks, but integration with signed distance maps is not common in semi-supervised pipelines. Limitations across prior work include weak handling of very small lesions, sensitivity to label noise and annotator disagreement, lack of scale-adaptive training signals that modulate pixel-level trust, and limited exploration of 3D spectral augmentations to emulate viewpoint or scanner variability.</w:t>
      </w:r>
    </w:p>
    <w:p>
      <w:r>
        <w:t xml:space="preserve"> </w:t>
      </w:r>
    </w:p>
    <w:p>
      <w:pPr>
        <w:pStyle w:val="Heading2"/>
      </w:pPr>
      <w:r>
        <w:t>Abstract</w:t>
      </w:r>
    </w:p>
    <w:p>
      <w:r>
        <w:t>We address semi-supervised medical image segmentation when pixel-level annotations are scarce and lesion sizes vary widely. We propose a unified framework that fuses multi-scale features in a dual-branch network and combines three key training signals: scale-aware adaptive reweighting that dynamically adjusts pixel-wise supervision using temporal confidence accumulation (temporal confidence refers to how stable a pixel prediction is across training or teacher snapshots), 3D Fourier-domain view variance augmentation to simulate realistic annotation and acquisition variability, and segmentation-regression consistency enforced via signed distance maps to sharpen boundaries (signed distance maps encode distance to the object edge). The main contribution is an integrated spatial, temporal, and geometric consistency strategy that prioritizes reliable supervision per pixel and per scale. We expect improved lesion recall, especially for small lesions, and better boundary accuracy compared to standard semi-supervised baselines, while maintaining calibration and robustness across heterogeneous sites. The method is designed to be compatible with weak labels and active learning procedures for efficient annotation use.</w:t>
      </w:r>
    </w:p>
    <w:p>
      <w:r>
        <w:t xml:space="preserve"> </w:t>
      </w:r>
    </w:p>
    <w:p>
      <w:pPr>
        <w:pStyle w:val="Heading2"/>
      </w:pPr>
      <w:r>
        <w:t>Experiments</w:t>
      </w:r>
    </w:p>
    <w:p>
      <w:r>
        <w:t>Datasets: Use three diverse public clinical datasets as testbeds: LIDC-IDRI for pulmonary nodules (CT), BraTS for brain tumors (MRI), and LiTS for liver lesions (CT). For multi-site heterogeneity experiments, partition each dataset by scanner/vendor or simulate site splits if unavailable; hold out at least two external sites per dataset for LOSO evaluation with minimum counts per held site of 50 patients or 100 lesions. Label regime: simulate limited labels with a pilot set of n=200 labeled cases split as Tier-1 strong masks 20% (40), Tier-2 boxes/scribbles 40% (80), Tier-3 image-level 40% (80); remaining data treated as unlabeled. Baselines: (A) semi-supervised Mean-Teacher with FPN+ASPP and standard augmentations; (B) same backbone with self-supervised pretraining only; (C) supervised-only trained on Tier-1 labels; (D) weakly supervised MIL baseline on Tier-2/3. Proposed: SASNet incorporating scale-aware adaptive reweighting, 3D Fourier view variance augmentation, and signed distance map consistency. Metrics: lesion-level FROC, lesion recall stratified by size bins small &lt;=5 mm, medium 5-15 mm, large &gt;15 mm, Dice and IoU for segmentation, FP per image, calibration metrics ECE and Brier, and pseudo-label precision/recall. Experimental setup: fixed random seeds, Dockerized code, train/validation/test splits stratified by site and size bin, 3 repeats with different seeds for variance estimates. Evaluation: perform LOSO external validation across held sites, report per-site and pooled metrics with 95% CIs. Ablations: run pre-registered ablation sequence removing in order: (1) ASPP, (2) scale adapters, (3) scale-consistency loss, (4) contrastive self-pretraining, (5) MIL/weak supervision components, (6) uncertainty weighting; compare each to full model. Privacy and deployment experiments: run DP sweep in federated setting with epsilon in {10,8,4,2,1} and compare centralized non-private, federated secure aggregation non-DP, and federated DP; report ΔAUC, Δper-bin recall, ΔFROC, ΔECE with 95% CIs. Statistical tests: paired DeLong for AUC, clustered bootstrap by patient for per-bin recall and FROC, McNemar for binary thresholds; correct multiple comparisons with Benjamini-Hochberg. Reproducibility: log hyperparameters, seeds, Docker image ID, code commit hash, annotation metadata, and use MLflow or W&amp;B for experiment tracking.</w:t>
      </w:r>
    </w:p>
    <w:p>
      <w:r>
        <w:t xml:space="preserve"> </w:t>
      </w:r>
    </w:p>
    <w:p>
      <w:pPr>
        <w:pStyle w:val="Heading2"/>
      </w:pPr>
      <w:r>
        <w:t>Risk Factors And Limitations</w:t>
      </w:r>
    </w:p>
    <w:p>
      <w:r>
        <w:t>Technical failure modes: scale-aware reweighting may overweight incorrect but stable biases leading to degraded learning (temporal confidence can reinforce systematic errors). 3D Fourier-domain augmentation might create unrealistic artifacts that harm clinical realism. Signed distance map regression may be sensitive to noisy or inconsistent annotations and produce poor boundaries if labels are inconsistent. Data and evaluation biases: public datasets may not reflect target clinical populations or scanner diversity; simulated site splits may underestimate real-world heterogeneity. Small-lesion scarcity: even with adaptive methods, extremely rare tiny lesions may remain underrepresented causing low recall. Privacy and federated training: differential privacy noise can substantially reduce utility, especially for small lesion detection. Compute and scalability: 3D Fourier transforms, multi-branch models, and ensemble uncertainty estimation increase memory and GPU compute, limiting training on large corpora. Generalization limits: improvements observed on the chosen datasets may not transfer to other organs, modalities, or acquisition protocols without further tuning. Regulatory limits: reported performance must be validated prospectively; retrospective performance does not guarantee clinical safety.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