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cmrxmotion_unrolled_svf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Physics-informed unrolled reconstruction with stationary velocity field motion modeling for robust myocardial segmentation and volumetry in respiratory-motion-corrupted cardiac cine MRI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physics-informed unrolled reconstruction network that jointly enforces k-space data consistency and a diffeomorphic stationary velocity field (SVF) motion prior will reduce left ventricular ejection fraction (EF) bias under respiratory motion by at least 5 percentage points relative to XD-GRASP respiratory-resolved reconstruction on the CMRxMotion multi-vendor test set.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respiratory-motion in cardiac cine MRI fall into three categories: respiratory-resolved reconstruction (e.g., XD-GRASP) that bins data by breathing state to reconstruct multiple motion phases; low-rank plus compressed sensing (low-rank+CS) and low-rank+DL hybrids that leverage temporal redundancy to denoise and recover undersampled data; and joint reconstruction-registration methods that alternate image reconstruction with motion estimation. More recent deep-learning methods use unrolled networks that alternate data-consistency steps in k-space (raw MRI data) with learned denoisers. Motion modeling methods include direct deformable registration and stationary velocity field (SVF) parametrizations; SVF enforces diffeomorphic (smooth, invertible) deformations, which better preserve volumes. Sim-to-real pretraining using XCAT simulations has been applied to supply ground-truth motion fields. Limitations in prior work: many methods are developed on single-vendor or breath-hold-biased datasets, lack controlled respiratory motion labels, do not enforce diffeomorphic constraints leading to volumetric bias, suffer from sim-to-real gaps, and rarely evaluate clinical endpoints (EF/EDV/ESV) or calibrated uncertainty for human-review gating.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robustness of automated myocardial segmentation and volumetry in cardiac cine MRI corrupted by respiratory motion. We propose a physics-informed unrolled reconstruction that alternates coil-aware k-space data-consistency with learned image priors and a differentiable stationary velocity field (SVF) motion module. The SVF module parameterizes dense, time-varying displacement fields as smooth, invertible deformations (diffeomorphisms) to preserve myocardial volume while allowing end-to-end training. Training uses a hybrid curriculum: supervised pretraining on an XCAT+MR simulator with known motion fields and self-supervised cycle- and k-space-consistency losses on multi-vendor real data. Main contributions are: (1) a joint reconstruction+SVF motion architecture designed to minimize clinical endpoint bias, (2) a sim-to-real training and gating protocol using feature-distance metrics and motion endpoint error (EPE), and (3) an evaluation suite that reports EF/EDV/ESV bias, segmentation quality, motion EPE, and uncertainty maps for human-review triggers. Expected outcome: demonstrable reduction in EF bias and improved uncertainty-aware reliability of myocardial measures under realistic respiratory motion across vendors and field strengths.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the CMRxMotion controlled-motion dataset (~300 subjects, ≥3 vendors, 1.5T/3T, stratified across ischemic/non-ischemic cardiomyopathy, valvular disease, arrhythmia, pediatric) with per-subject breath-hold reference stacks and free-breathing multi-coil k-space; preserve surrogates (navigator, bellows, optical) and BIDS-CMR metadata. Use XCAT+MR synthetic cohort of 1000 cases with parametrized respiratory waveforms and ground-truth dense motion fields. Hold-out phantoms and annotated real subsets for motion EPE evaluation. Data splits: stratified train/validation/test = 60%/20%/20% by vendor, field strength, and pathology; synthetic data kept separate from real_holdout test. Baselines: (1) XD-GRASP respiratory-resolved reconstruction, (2) low-rank+DL hybrid, (3) unrolled reconstruction without SVF motion module, (4) unrolled reconstruction with SVF (proposed). Implementation: containerized Docker/Gadgetron runs, fixed random seeds, report hardware metadata. Training: pretrain on XCAT supervised (L1/L2 image+k-space + motion EPE), then hybrid fine-tune on real data with k-space consistency, cycle-registration, and temporal smoothness losses. Evaluation metrics: primary clinical endpoints EF bias and limits-of-agreement (LoA), EDV/ESV bias; segmentation Dice and Hausdorff distance; motion EPE on synthetic and annotated real subsets; uncertainty calibration (expected calibration error), percent LV voxels above uncertainty threshold, runtime and memory. Statistical tests: paired Wilcoxon signed-rank for metric differences; report 95% confidence intervals and Bland–Altman for volumes. Blinded reader study: paired randomized reads comparing motion-corrected vs breath-hold references with EF non-inferiority margin ±5%; target overall N=120 (≈30 per key stratum) to enable stratified analysis. Ablations: (A) surrogate conditioning (with vs without FiLM conditioning on surrogate signals), (B) sampling pattern (radial golden-angle stack-of-stars vs Cartesian), (C) undersampling factors {2x,4x,8x}, (D) Jacobian penalty on/off, (E) sim-to-real mix ratios {100% sim, 50/50, 10% sim+90% real}. Reproducibility: require container, seed, training logs, configs, frozen weights for top models.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learned motion estimates may produce non-physiologic deformations (non-diffeomorphic) causing volume errors; SVF regularization may be insufficient or too strong and bias motion. Sim-to-real gap: synthetic XCAT data may not match vendor-specific coil, B0/B1, or contrast distributions, leading to poor transfer. Annotation noise: inter-reader variability in ground-truth contours and scar labels will limit measurable gains and inflate variance. Dataset bias: limited representation in any stratum (e.g., few pediatric or arrhythmia cases) can reduce statistical power and cause leaderboard overfitting. Compute and scalability: unrolled models with SVF and large multi-coil datasets are compute- and memory-intensive, limiting retraining and large hyperparameter sweeps. Evaluation limits: motion EPE is only exact on synthetic and annotated subsets; real-world motion ground truth is approximate. Human-review burden: uncertainty gates may flag many cases, increasing expert workload. Regulatory/generalization limits: multi-site heterogeneity may still produce site-specific failure modes not captured by limited vendor/sample diversity.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