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memory_wavelet_ultrasound_seg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Memory-bank and Wavelet-based Network for Long Ultrasound Video Segmentation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combined network that applies wavelet-based feature conditioning and a long-short-term memory bank for spatiotemporal fusion will increase mean Dice by ≥0.05 and reduce Mask Fluctuation Index (MFI) by ≥30% versus a frame-wise segmentation baseline on long ultrasound videos.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three groups: (1) frame-wise convolutional segmentation (for example U-Net variants) that process each frame independently and thus produce temporally inconsistent masks; (2) short-term temporal models (ConvLSTM, 3D CNN, and sliding-window transformers) that model only limited temporal context and often smooth or blur high-frequency edges; (3) signal-processing based denoising such as discrete wavelet transforms (DWT) or learned filter banks used for speckle reduction and edge enhancement. Memory-augmented networks have been applied to video tasks to store and retrieve past features, but prior designs either use small short-term buffers or coarse keys that do not preserve fine boundary detail. Wavelet-based denoising methods preserve high-frequency edges but are typically applied to raw images and not to learned deep features, and classical thresholding can remove clinically relevant fine structures. Gaps: methods that jointly (a) model long-term dependencies with a scalable memory bank, (b) emphasize high-frequency, small-object detail via multi-level wavelet processing in feature space, and (c) provide per-frame diagnostics for clinical auditability are lacking.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segmentation of long ultrasound videos where speckle noise, small anatomical targets, and long-range temporal dependencies cause spatial errors and temporal flicker. We propose a single network architecture that combines a memory bank for long-short-term feature storage with a wavelet-based front-end applied in latent feature space to enhance high-frequency detail. The memory bank stores confident past embeddings and retrieves relevant prototypes to stabilize temporally consistent predictions; the wavelet front-end decomposes encoder features into frequency sub-bands and applies adaptive per-band conditioning to preserve edges and small structures. Main contributions: (1) an integrated memory+wavelet design for long ultrasound sequences, (2) a controlled ablation and probe suite (SNR sweep and motion probes) to isolate effects on boundary fidelity, and (3) per-frame diagnostics for memory provenance and deployment safety. Expected outcome: improved spatial accuracy (higher Dice, lower boundary error) and reduced temporal flicker, yielding more reliable clinical measurements from long ultrasound videos.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transthoracic echocardiography (apical views) and fetal biometric plane long videos. Data splits: patient-level 70/15/15 (train/val/test) with vendor hold-out fold(s); contiguous sequence blocks, stratified by gestational/age and operator. Sample sizes: pilot N=50 sequences per domain; ablation N≥30 sequences/domain for paired tests; prospective hold-out 100 videos/domain. Baselines: frame-wise U-Net style segmentation (baseline), memory-only network (no wavelet), wavelet-only network (no memory), learned-wavelet-filterbank variant, and combined memory+wavelet model. Metrics: spatial — Dice, IoU, ASSD (average symmetric surface distance, distance in pixels), Hausdorff Distance; temporal — Mask Fluctuation Index (MFI = mean frame-to-frame mask L1 normalized), Temporal IoU, Trajectory IoU, Temporal Smoothness (mean contour L2/sec); clinical — bias (%) for volumes/biometrics, Bland-Altman limits, ICC. Efficiency: GPU throughput (FPS) and peak GPU memory. Experimental setup: fixed seeds, containerized runs, deterministic preprocessing, MLflow or W&amp;B tracking. Training: same backbone across variants, identical optimizer and augmentations; patient-level early stopping based on validation Dice. Ablations: memory size (capacity), write rules (confidence-gated vs periodic K frames), EMA alpha for keys/values (0.1–0.3), top-k retrieval (k=1..10), wavelet levels (3 vs 4), classical DWT (CDF 5/3, 9/7) vs learned filter banks, per-band soft-threshold vs fixed threshold. Controlled probes: synthetic speckle/noise SNR sweep (20,15,10,5 dB) and phase-preserving motion via optical-flow warps; measure HF-band ASSD and sub-band SNR/PSNR. Statistical tests: paired t-test when normality holds else Wilcoxon signed-rank; bootstrap 95% CIs with 1000 iterations; report effect sizes. Acceptance comparisons: check combined model vs frame-wise and vs single-module variants. Logging: retrieval hit-rate@k, retrieval entropy, embedding drift, exemplar thumbnails and attention overlays for failure analysis.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memory drift or corruption causing stale prototypes and degraded retrieval; over-reliance on memory that propagates annotation bias; wavelet thresholding that removes small true structures. Data and annotation biases: limited vendor diversity, insufficient edge-case coverage, and inter-rater variability affecting clinical metrics. Scalability and compute limits: memory bank and multi-level wavelet processing increase runtime and GPU memory; may not meet real-time constraints on low-resource hardware. Statistical and evaluation limits: small per-domain sample sizes reduce power for ICC/Bland-Altman estimation. Generalization limits: trained models may not transfer to other ultrasound views, devices, or pathologies without additional adaptation. Regulatory/audit constraints: per-frame provenance logs grow large and require secure, searchable storage for traceability.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