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disentangled_anatomy_pseudohealthy</w:t>
      </w:r>
    </w:p>
    <w:p>
      <w:r>
        <w:t xml:space="preserve"> </w:t>
      </w:r>
    </w:p>
    <w:p>
      <w:pPr>
        <w:pStyle w:val="Heading2"/>
      </w:pPr>
      <w:r>
        <w:t>Title</w:t>
      </w:r>
    </w:p>
    <w:p>
      <w:r>
        <w:t>Disentangled anatomy learning with edge-to-image pseudo-healthy reconstruction for unsupervised anomaly detection in brain MRI</w:t>
      </w:r>
    </w:p>
    <w:p>
      <w:r>
        <w:t xml:space="preserve"> </w:t>
      </w:r>
    </w:p>
    <w:p>
      <w:pPr>
        <w:pStyle w:val="Heading2"/>
      </w:pPr>
      <w:r>
        <w:t>Short Hypothesis</w:t>
      </w:r>
    </w:p>
    <w:p>
      <w:r>
        <w:t>Enforcing a disentangled representation that separates an anatomy latent (z_a) from an appearance latent (z_p) and reconstructing pseudo-healthy images from edge-derived anatomy reduces missed lesions and increases lesion detection sensitivity on unseen multi-site brain MRI compared to a non-disentangled reconstruction baseline.</w:t>
      </w:r>
    </w:p>
    <w:p>
      <w:r>
        <w:t xml:space="preserve"> </w:t>
      </w:r>
    </w:p>
    <w:p>
      <w:pPr>
        <w:pStyle w:val="Heading2"/>
      </w:pPr>
      <w:r>
        <w:t>Related Work</w:t>
      </w:r>
    </w:p>
    <w:p>
      <w:r>
        <w:t>Reconstruction-based unsupervised anomaly detection commonly uses autoencoders, variational autoencoders (VAE; a generative model that reconstructs images), and GANs to learn normal appearance and flag anomalies as reconstruction residuals. Pseudo-healthy synthesis methods try to generate normal-looking versions of pathological scans to reveal anomalies as differences, but many produce blurred images or leak pathology into the learned normal space. Disentangled representation learning separates latent factors (e.g., content vs style) but existing works often lack strong anatomical constraints, leading to anatomy/appearance leakage and poor cross-site generalization. Harmonization methods (e.g., ComBat) reduce scanner effects but can oversmooth or remove focal pathology when applied globally. Edge-based image restoration has been used in image synthesis but not widely paired with disentangled anatomy for MRI anomaly detection. Limitations of current approaches include: (1) pathology leakage into latents, (2) sensitivity loss under scanner/site shifts, (3) over-reliance on supervised labels or unrealistic synthetic lesions, and (4) insufficient multi-modal or multi-center validation.</w:t>
      </w:r>
    </w:p>
    <w:p>
      <w:r>
        <w:t xml:space="preserve"> </w:t>
      </w:r>
    </w:p>
    <w:p>
      <w:pPr>
        <w:pStyle w:val="Heading2"/>
      </w:pPr>
      <w:r>
        <w:t>Abstract</w:t>
      </w:r>
    </w:p>
    <w:p>
      <w:r>
        <w:t>We address unsupervised anomaly detection in multi-site brain MRI by learning a disentangled representation that separates anatomy from acquisition-specific appearance and by reconstructing high-quality pseudo-healthy images from edge-derived anatomy cues. The method uses a constrained anatomy encoder that is guided by probabilistic tissue priors and a differentiable one-hot encoding operator to produce a discrete anatomical map, plus an appearance encoder for scanner and contrast factors. An edge-to-image restoration module converts high-frequency edge representations back into full MR intensities while recoupling appearance factors to preserve realistic contrast and suppress abnormal residuals. The main contribution is a two-module pipeline that (1) enforces anatomy/appearance separation to prevent pathology leakage, and (2) restores detailed pseudo-healthy images from edge cues to improve anomaly localization. Expected outcomes are improved lesion sensitivity and localization on unseen sites and modalities, robust multi-center performance, and diagnostic-calibrated anomaly scores suitable for reader-assist studies.</w:t>
      </w:r>
    </w:p>
    <w:p>
      <w:r>
        <w:t xml:space="preserve"> </w:t>
      </w:r>
    </w:p>
    <w:p>
      <w:pPr>
        <w:pStyle w:val="Heading2"/>
      </w:pPr>
      <w:r>
        <w:t>Experiments</w:t>
      </w:r>
    </w:p>
    <w:p>
      <w:r>
        <w:t>Datasets: multi-site brain MRI cohort with at least 6 sites (mix of 1.5T and 3T), a core fully-annotated set of 200–500 voxel-wise labeled cases (varied lesion types and sizes), a larger weakly-labeled set of several thousand cases, and a held-out site set (4–6 sites) with pilot 20 cases/site and full 50–100 cases/site. Add synthetic-lesion injections into healthy scans for stress tests (15–25% in training validation, 30–40% in held-out stress subsets). Baselines: (A) single-encoder VAE reconstruction (no disentanglement), (B) VAE with appearance-only latent, (C) AnoGAN-style adversarial reconstruction, (D) supervised segmentation oracle (upper bound). Metrics: voxel AUROC and AUPRC, lesion-wise sensitivity and precision stratified by lesion size (&gt;=5, &gt;=10, &gt;=20 mm), false positives per scan, Dice and centroid localization error (mm), SSIM for swap-test reconstructions, Explicitness Score (linear classifier recover tissue from z_a), MI-gap (InfoNCE estimate between z_a and appearance), ECE calibration, and adversarial-detector AUC for synthetic vs real lesions. Harmonization ablation matrix: compare global ComBat-GAM, healthy-only ComBat-GAM, ComBat without GAM, drop-vendor, drop-field-strength, and per-site ComBat. Ablations: (1) remove anatomy-head supervision, (2) remove disentanglement penalties (TC/ covariance), (3) remove edge-to-image module, (4) no harmonization. Experimental setup: train on pooled multi-site training set with deterministic BIDS preprocessing; run site-holdout tests (train excluding held sites); report bootstrapped 95% CIs per-site for Explicitness, MI-gap, swap-test SSIM; require reporting of synthetic-lesion fidelity (KS on intensity, Dice and 95%-Hausdorff vs prototypes, Fréchet distance in learned embedding) and adversarial-detector AUC. Statistical tests: paired Wilcoxon for within-case ablations, bootstrap CIs for metrics, and pre-specified rejection thresholds (CNR drop &gt;20% or AUROC drop &gt;5% flags pathology harm).</w:t>
      </w:r>
    </w:p>
    <w:p>
      <w:r>
        <w:t xml:space="preserve"> </w:t>
      </w:r>
    </w:p>
    <w:p>
      <w:pPr>
        <w:pStyle w:val="Heading2"/>
      </w:pPr>
      <w:r>
        <w:t>Risk Factors And Limitations</w:t>
      </w:r>
    </w:p>
    <w:p>
      <w:r>
        <w:t>Disentanglement failure: z_a may still encode appearance or pathology if anatomy supervision is weak, causing false negatives. Harmonization risk: aggressive harmonization can reduce lesion contrast and mask focal pathology. Synthetic lesions: synthetic libraries may introduce artifacts or shortcuts that models exploit; adversarial detector or seam-focusing may reveal bias. Domain shift: performance may drop on unseen vendors, field strengths, or rare lesion types not represented in training. QC and thresholds: fixed SNR/CNR/brain-mask thresholds may not generalize across sites and could exclude usable data. Compute and scalability: dual-encoder models, MI estimation, and large ablation matrices require substantial compute and storage. Clinical limits: uncertainty estimates and pseudo-healthy images may be misinterpreted by clinicians; reader-study size may be constrained by annotation cost. Evaluation bias: limited lesion diversity or annotated sample size may overestimate real-world performance.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