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lctfound_multimodal_pretrain</w:t>
      </w:r>
    </w:p>
    <w:p>
      <w:r>
        <w:t xml:space="preserve"> </w:t>
      </w:r>
    </w:p>
    <w:p>
      <w:pPr>
        <w:pStyle w:val="Heading2"/>
      </w:pPr>
      <w:r>
        <w:t>Title</w:t>
      </w:r>
    </w:p>
    <w:p>
      <w:r>
        <w:t>Diffusion-based multimodal pretraining for a lung CT foundation model to improve lesion detection, segmentation, and downstream clinical decision tasks</w:t>
      </w:r>
    </w:p>
    <w:p>
      <w:r>
        <w:t xml:space="preserve"> </w:t>
      </w:r>
    </w:p>
    <w:p>
      <w:pPr>
        <w:pStyle w:val="Heading2"/>
      </w:pPr>
      <w:r>
        <w:t>Short Hypothesis</w:t>
      </w:r>
    </w:p>
    <w:p>
      <w:r>
        <w:t>A lung CT foundation model pretrained with diffusion-based self-supervision plus joint encoding of imaging and clinical metadata will increase lesion-level sensitivity for small nodules (&lt;6 mm) by at least 5 percentage points and reduce expected calibration error (ECE) by at least 0.03 relative to the same model pretrained with MAE-only on the same multi-center dataset when fine-tuned for detection and segmentation tasks.</w:t>
      </w:r>
    </w:p>
    <w:p>
      <w:r>
        <w:t xml:space="preserve"> </w:t>
      </w:r>
    </w:p>
    <w:p>
      <w:pPr>
        <w:pStyle w:val="Heading2"/>
      </w:pPr>
      <w:r>
        <w:t>Related Work</w:t>
      </w:r>
    </w:p>
    <w:p>
      <w:r>
        <w:t>Existing methods for CT tasks fall into three broad groups: supervised models trained on hand-labeled datasets, self-supervised masked autoencoders (MAE) or contrastive pretraining, and multimodal models that pair images with reports. Supervised models achieve strong task performance but are limited by label scarcity and label noise. MAE and contrastive methods learn general image features without labels but can blur fine-scale structures like small nodules unless explicitly regularized. Diffusion models have recently shown stronger generative and feature-learning capacity in natural images, but diffusion-based pretraining for 3D medical CT is under-explored. Multimodal image-report encoders improve clinical alignment but often rely on noisy report text and mixed-site data without rigorous harmonization. Domain adaptation using adapters (FiLM/LoRA) is effective for site transfer but few-shot evaluations on CT nodules are limited. Harmonization techniques (phantom-based, ComBat, learned kernel conversion) exist, yet aggressive image transforms can distort biomarkers. Uncertainty calibration methods (ensembles, temperature scaling, conformal prediction) are available but rarely validated per-lesion in multi-reader MRMC studies. Overall gaps: limited diffusion pretraining for 3D lung CT, weak preservation of small lesion detail, inconsistent harmonization practices, and sparse per-lesion calibrated evaluation across sites.</w:t>
      </w:r>
    </w:p>
    <w:p>
      <w:r>
        <w:t xml:space="preserve"> </w:t>
      </w:r>
    </w:p>
    <w:p>
      <w:pPr>
        <w:pStyle w:val="Heading2"/>
      </w:pPr>
      <w:r>
        <w:t>Abstract</w:t>
      </w:r>
    </w:p>
    <w:p>
      <w:r>
        <w:t>We propose a lung CT foundation model pretrained with diffusion-based self-supervision and joint encoding of imaging with clinical metadata to enable robust downstream tasks including lesion detection, segmentation, diagnosis, prognosis, and surgical navigation. The model is trained on a large curated multi-center corpus and fine-tuned via lightweight adapters for site- or task-specific transfer. Key technical elements include: (1) diffusion-based pretraining combined with masked reconstruction and denoising to preserve high-frequency nodule detail; (2) soft-label targets derived from a hierarchical ground-truth weighting (pathology, consensus, longitudinal, report) to reflect label uncertainty; (3) deterministic harmonization using phantom-based HU anchors and optional learned kernel conversion; and (4) per-lesion uncertainty calibration using ensembles and split-conformal intervals. Main contributions are a reproducible pretraining curriculum for 3D lung CT, a protocol to integrate annotation entropy into training targets, and an MRMC-based evaluation that measures radiologist impact and per-lesion calibrated performance. Expected outcomes include improved small-nodule sensitivity, better-calibrated per-lesion probabilities, and a validated adapter workflow for few-shot site adaptation.</w:t>
      </w:r>
    </w:p>
    <w:p>
      <w:r>
        <w:t xml:space="preserve"> </w:t>
      </w:r>
    </w:p>
    <w:p>
      <w:pPr>
        <w:pStyle w:val="Heading2"/>
      </w:pPr>
      <w:r>
        <w:t>Experiments</w:t>
      </w:r>
    </w:p>
    <w:p>
      <w:r>
        <w:t>Datasets: Pretrain on lungCT-28M (large unlabeled multi-center CT corpus) and the curated labeled multi-center evaluation set (~10,000 scans across ≥10 sites, ≥4 vendors) with sampling quotas per nodule-size strata (&lt;6 mm:3000, 6–8 mm:2000, 8–15 mm:2000, &gt;15 mm:1000) and rare-phenotype slices (200–500). Include synthetic/inserted nodules and expiratory/phase-diverse subsets. Baselines: (A) MAE-only pretrain, (B) MAE+denoising, (C) supervised CT pretrain from labeled subset, (D) diffusion-based pretrain without multimodal encoding. Downstream fine-tuning: compare full fine-tune vs FiLM and LoRA adapters with few-shot per-site sizes (10, 25, 50). Label-weight ablation: baseline weights {pathology=1.0, consensus=0.8, longitudinal=0.6, report=0.3} plus three alternatives (vary consensus ±0.1 and report ±0.2) and binary labels. Harmonization ablation: on vs off (phantom HU linear correction + learned kernel CNN). Entropy exclusion ablation: include all vs exclude cases with entropy&gt;0.6 and &gt;0.8. Metrics: lesion-level sensitivity by size strata, false positives per scan (FP/scan), Dice for segmentation, centroid error (mm), expected calibration error (ECE), Brier score, net reclassification improvement (NRI), MRMC paired endpoints (lesion sensitivity delta, FP/scan, time-on-task), pointing-game accuracy and saliency Dice for explainability, and per-lesion conformal interval sizes. MRMC setup: within-subject paired reads (unassisted vs assisted), 8–12 readers (≥4 thoracic attendings), washout ≥4 weeks, enrichment 30–40% positives. Analysis: use Bayesian hierarchical MRMC with site/reader/case random effects for primary inference, supplemented by bootstrap and permutation CIs and FDR control. Pretraining hyperparameters: MAE mask ratio 0.4–0.7, HU L1 upweight factor {1,3,5}, contrastive temp 0.07–0.2, momentum τ≈0.99. Ablation study: prioritize comparisons of diffusion-based multimodal vs MAE-only, harmonization on/off, adapter vs full fine-tune, and label-weight variants; report per-cell metrics with 95% CIs and Bayesian model comparison.</w:t>
      </w:r>
    </w:p>
    <w:p>
      <w:r>
        <w:t xml:space="preserve"> </w:t>
      </w:r>
    </w:p>
    <w:p>
      <w:pPr>
        <w:pStyle w:val="Heading2"/>
      </w:pPr>
      <w:r>
        <w:t>Risk Factors And Limitations</w:t>
      </w:r>
    </w:p>
    <w:p>
      <w:r>
        <w:t>Technical failure modes: diffusion pretraining may require excessive compute and fail to converge on 3D CT volumes, or it may not preserve fine nodule texture despite HU-aware losses. Label risks: hierarchical soft labels depend on available pathology/longitudinal data; sites with scarce pathology will reduce effective label quality. Harmonization limits: linear HU correction or learned kernel conversion can alter biomarkers or remove subtle pathology signals. Evaluation bias: curated dataset quotas may not reflect real-world prevalence, causing optimistic FP/scan or sensitivity estimates. MRMC limitations: reader variability and limited reader counts (8–12) constrain power for small subgroups; washout may be insufficient for learning effects. Compute and scale: large pretraining on lungCT-28M and ablation sweeps may exceed available GPU budgets, limiting explored hyperparameter space. Generalization: rare phenotypes and scanner kernels not in training may degrade performance. Calibration drift: post-deployment HU-anchor or SNR shifts can invalidate per-lesion calibration. Regulatory/reproducibility constraints: incomplete provenance, missing seeds, or nondeterministic preprocessing will impair reproducibility and audits.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