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personalized_nutrition_remote_rct</w:t>
      </w:r>
    </w:p>
    <w:p>
      <w:r>
        <w:t xml:space="preserve"> </w:t>
      </w:r>
    </w:p>
    <w:p>
      <w:pPr>
        <w:pStyle w:val="Heading2"/>
      </w:pPr>
      <w:r>
        <w:t>Title</w:t>
      </w:r>
    </w:p>
    <w:p>
      <w:r>
        <w:t>A fully remote randomized controlled trial comparing personalized versus generic digital nutrition advice and the feasibility of self-collected at-home anthropometrics in adults with overweight or obesity</w:t>
      </w:r>
    </w:p>
    <w:p>
      <w:r>
        <w:t xml:space="preserve"> </w:t>
      </w:r>
    </w:p>
    <w:p>
      <w:pPr>
        <w:pStyle w:val="Heading2"/>
      </w:pPr>
      <w:r>
        <w:t>Short Hypothesis</w:t>
      </w:r>
    </w:p>
    <w:p>
      <w:r>
        <w:t>In adults with overweight or obesity, receiving personalized digital nutrition advice (with or without personalized food boxes) causes greater mean percent weight loss at 12 months than receiving generic nutrition advice, as measured by self-collected at-home weight and waist measurements.</w:t>
      </w:r>
    </w:p>
    <w:p>
      <w:r>
        <w:t xml:space="preserve"> </w:t>
      </w:r>
    </w:p>
    <w:p>
      <w:pPr>
        <w:pStyle w:val="Heading2"/>
      </w:pPr>
      <w:r>
        <w:t>Related Work</w:t>
      </w:r>
    </w:p>
    <w:p>
      <w:r>
        <w:t>Prior work includes digital nutrition and weight-loss programs, remote coaching trials, personalized nutrition pilots, and studies using home scales or wearables for outcomes. Existing digital interventions often show small-to-moderate short-term weight changes but vary in personalization methods and coaching intensity. Personalized nutrition research has used biological or behavioral inputs to tailor advice but has shown mixed effects and limited replication. Studies that provided food boxes or meal delivery report improved adherence but are usually non-randomized or short duration. Remote trials using self-measured weights often lack rigorous validation of at-home measures and device harmonization, leading to measurement uncertainty. Major limitations across prior work are small samples, short follow-up, incomplete handling of missing data (especially outcomes missing not at random), limited device validation (no standard ICC or bias thresholds), insufficient equity-focused recruitment, and lack of open reproducible analysis workflows.</w:t>
      </w:r>
    </w:p>
    <w:p>
      <w:r>
        <w:t xml:space="preserve"> </w:t>
      </w:r>
    </w:p>
    <w:p>
      <w:pPr>
        <w:pStyle w:val="Heading2"/>
      </w:pPr>
      <w:r>
        <w:t>Abstract</w:t>
      </w:r>
    </w:p>
    <w:p>
      <w:r>
        <w:t>This study evaluates whether a fully remote, digital-first personalized nutrition intervention can be delivered feasibly to adults with overweight or obesity and whether participant self-collected anthropometrics at home can detect meaningful weight changes. We propose a three-arm randomized design: generic nutrition advice, personalized digital advice, and personalized advice plus personalized food boxes. Primary outcomes are feasibility metrics and mean percent weight change at 12 months using self-measured weight and waist. The main contribution is combining a pragmatic remote trial platform, pre-specified blinded variance re-estimation, device-validation substudies, and transparent sensitivity analyses for missing data (including a pattern-mixture delta grid). Expected outcomes include (1) evidence on the feasibility and data quality of do-it-yourself anthropometrics, (2) effect estimates comparing personalization and food-box augmentation, and (3) operational rules for device validation, equity recruitment, and reproducible analysis for future remote nutrition trials.</w:t>
      </w:r>
    </w:p>
    <w:p>
      <w:r>
        <w:t xml:space="preserve"> </w:t>
      </w:r>
    </w:p>
    <w:p>
      <w:pPr>
        <w:pStyle w:val="Heading2"/>
      </w:pPr>
      <w:r>
        <w:t>Experiments</w:t>
      </w:r>
    </w:p>
    <w:p>
      <w:r>
        <w:t>Population and datasets: Recruit adults 18–75 with BMI ≥25 kg/m2; target primary N≈166 (90% power, delta=3.5% absolute percent weight change, SD=6, 25% attrition), contingency N≈124 (80% power), max inflation cap N≈249 after blinded variance re-estimation. Randomization: 1:1:1 three parallel arms stratified by site, baseline BMI category (27–34.9, ≥35), and sex with permuted variable block sizes. Measurement schedule: baseline, monthly remote weights/waists, 6-month clinician-validated subsample, 12-month primary endpoint. Device validation substudies: each device type n≥50 vs reference (e.g., clinic scale/DXA/venous blood/ActiGraph). Baselines and comparators: Arm A generic advice (baseline comparator); Arm B personalized digital advice; Arm C personalized advice + personalized food box. Baseline covariates: demographics, baseline weight, engagement metrics. Evaluation metrics: primary continuous outcome percent weight change at 12 months; secondary: proportion achieving ≥5% and ≥10% weight loss, waist change, device agreement metrics: ICC (intraclass correlation coefficient; measure of reliability), mean bias (average difference), limits of agreement. Engagement metrics: app interactions/week, coaching session attendance. Safety: adverse events and rapid weight loss flags (&gt;1% body weight/week). Analysis plan: primary ITT mixed-effects linear model for percent weight change with fixed effects for treatment, time (categorical), treatment×time, baseline weight, stratification covariates; random intercepts for participant; estimate by REML. Missing data: primary MAR assumption using MICE (multiple imputation) with rich auxiliary variables; predefined pattern-mixture MNAR sensitivity with delta grid −0.5% to −6.0% in 0.5% steps. Blinded variance re-estimation: pooled SD computed at earlier of 6 months after first randomization or ~50% with 6-month weights; recompute required N_per_arm = 2*(Z_{1-α/2}+Z_{1-β})^2 * s_p^2 / Δ^2 and allow recruitment increase up to +50% cap. Comparisons and ablations: (1) primary comparison Arm B vs Arm A, (2) add-on effect Arm C vs Arm B to test food-box incremental effect, (3) ablation removing participants using unvalidated devices (analysis with vs without calibrated device data), (4) per-protocol analysis defined by pre-specified engagement thresholds (≥50% scheduled weights and engagement criteria). Subgroup and heterogeneity tests: prespecified subgroups (race/ethnicity, SES, age strata) with interaction tests; require both clinical threshold (absolute ≥3% weight change) and statistical strength (interaction p&lt;0.01 or Bayesian posterior &gt;0.90) for claims. Device analytic outcomes: report ICC, mean bias, and proportion of device data failing thresholds; if device fails, perform calibrated-correction analysis and report both corrected and uncorrected results. Reproducibility: pre-register SAP and upload analysis code plus Docker image and data dictionary before database lock; deposit deidentified data under controlled access after embargo.</w:t>
      </w:r>
    </w:p>
    <w:p>
      <w:r>
        <w:t xml:space="preserve"> </w:t>
      </w:r>
    </w:p>
    <w:p>
      <w:pPr>
        <w:pStyle w:val="Heading2"/>
      </w:pPr>
      <w:r>
        <w:t>Risk Factors And Limitations</w:t>
      </w:r>
    </w:p>
    <w:p>
      <w:r>
        <w:t>Measurement error: self-collected weights/waists and consumer devices may be noisy or biased; device heterogeneity can limit validity. Missing data and attrition: dropout may be MNAR (not random), biasing estimates despite sensitivity analyses. Sample size risk: actual pooled SD or attrition may differ, requiring large recruitment increases up to cap and possibly underpowering. Selection bias and generalizability: participants willing to enroll in a digital trial may not represent broader populations, limiting external validity. Equity shortfalls: failure to meet recruitment quotas for underserved subgroups will reduce inference about equity. Technical failures: app, device pairing, or data transmission outages can cause data loss. Contamination: participants may access outside programs or share intervention components across arms. Privacy and security constraints: data sharing and device vendor limitations may delay reproducible data release. Short follow-up: 12 months may not capture long-term maintenance of weight change.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