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gbsspec_poct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Specific absorption spectroscopy of chromogenic culture pigment converted to an electrical and computed signal for rapid point-of-care quantitative detection of Group B Streptococcus colonization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Measuring chromogenic culture pigment concentration by specific absorption spectroscopy and converting it into an electrical/computed variable enables quantitative detection of Group B Streptococcus at ≤10^2 CFU/mL within 30 minutes and yields sensitivity ≥95% versus a composite reference standard.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Current GBS detection methods include: (1) culture on selective media with visual or chromogenic readouts, which are low-cost but slow (24–48 h) and qualitative or semi-quantitative and subject to operator interpretation; (2) enrichment culture followed by biochemical or MALDI-TOF identification, which increases sensitivity but adds time; (3) nucleic acid amplification tests (NAATs) such as PCR, isothermal methods (RPA, LAMP), and CRISPR-based detection, which give rapid high-sensitivity results but require molecular reagents, controlled sample prep, and instrument complexity; (4) lateral-flow or antigen rapid tests, which are fast but have limited sensitivity. Limitations remain: visual chromogenic readouts are subjective and poorly quantitative; many NAATs require extraction or complex cartridges and can miss targets if single-gene deletions occur; rapid tests trade speed for sensitivity. Prior attempts to quantify culture pigment using basic photometry are limited by poor wavelength specificity, background noise, long incubation, and lack of integration into a bedside workflow. No established solution currently converts chromogenic pigment absorption into a validated electrical/computed metric with demonstrated analytic LOD ≈10^2 CFU/mL and clinical performance for intrapartum decision-making.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need for a rapid bedside test to identify Group B Streptococcus (GBS) colonization in pregnant women by converting chromogenic culture pigment signals into a quantitative electrical/computed readout using specific absorption spectroscopy. The proposed approach incubates a vaginal–rectal swab on a chromogenic medium inside a closed cartridge, measures pigment absorption at selected wavelengths with an integrated optical sensor, converts the optical signal into an electrical voltage, and applies a calibrated algorithm to report a numeric value proportional to GBS concentration. The main contribution is a fully instrumented, quantitative pigment-to-signal pipeline enabling detection near 10^2 colony forming units per milliliter (CFU/mL) within 30 minutes, suitable for intrapartum prophylaxis decisions. Expected outcomes are: analytic demonstration of LOD and linearity, evaluation of specificity against near-neighbors and common vaginal flora, and clinical pilot data comparing the computed variable to a composite reference (enriched culture + orthogonal NAAT). If validated, this method could provide low-cost, rapid, and quantitative POC GBS screening without the need for molecular amplification.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Analytical bench stage: 1) Strain panels: contrived samples prepared by spiking sterile vaginal swab matrices with cultured GBS isolates representing serotypes Ia, Ib, II, III (including CC17), V; for each isolate prepare serial dilutions at 1e4, 1e3, 1e2, 1e1 CFU/mL. 2) Replicates: 20 independent replicates per concentration per isolate. 3) Device workflow: insert swab into closed cartridge containing chromogenic medium, incubate at 37°C; record absorption at 2–4 wavelengths (select peak pigment λ and reference λ) every 2 minutes for 30 minutes using photodiode sensor; convert to voltage, apply background subtraction and normalization. 4) Baselines: (A) visual chromogenic readout by blinded technicians, (B) lab NAAT quantification (qPCR or digital PCR) for CFU-equivalent, (C) established duplex RPA+CRISPR assay on matched lysates. 5) Metrics: limit of detection (LOD, lowest CFU/mL with ≥95% detection), time-to-detection (minutes), linearity (R^2 of computed signal vs qPCR CFU), repeatability (% coefficient of variation), false positive rate against exclusivity panel (see below). 6) Exclusivity panel: test high-load (1e6 CFU/mL) and dilution series for Streptococcus pseudoporcinus, S. dysgalactiae, S. pyogenes, Enterococcus faecalis/faecium, Gardnerella vaginalis, Lactobacillus spp., Staphylococcus aureus, E. coli, and representative anaerobes; N=5 isolates per species, 5 replicates each. 7) Ablations: compare single-wavelength versus dual-wavelength reference subtraction; compare linear calibration versus non-linear (logistic) mapping; test with and without brief chemical lysis (non-ionic detergent + protease) in cartridge. 8) Statistical analysis: compute sensitivity/specificity against qPCR thresholds; bootstrap 95% CI for LOD and R^2. Clinical pilot stage: 1) Prospective multicenter cohort: enroll 1,200 pregnant women at labor admission across 5 sites to capture ≥100 GBS positives (expected prevalence 8–12%). 2) Sample handling: collect paired vaginal–rectal swab sample A for the spectroscopic cartridge and sample B for composite reference (enrichment culture + orthogonal NAAT). 3) Subgroup quotas: oversample to ensure ≥20–30 positives each in preterm (&lt;37 wk), ROM&gt;18 h, and recent antibiotics groups. 4) Baselines: composite reference, and RPA+CRISPR run on residual sample when available. 5) Primary endpoints: clinical sensitivity and specificity of the computed pigment variable vs composite reference; non-inferiority margin set at 5% (test sensitivity no more than 5% lower than reference). 6) Secondary endpoints: TTR, invalid rate, correlation of computed value with NAAT quantification (Spearman rho), subgroup sensitivities. 7) Interim analyses: DSMB review at 25% and 50% enrollment for safety (predefined stopping rules). 8) Data analysis: compute exact binomial CIs, ROC curve, determine operating threshold that maximizes Youden index while meeting TTR constraint. Experimental controls: include no-target negative swabs and heat-killed GBS controls. All test runs logged with versioned calibration files and raw voltage traces archived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Biological variability in pigment production: some GBS strains or serotypes may produce little or no chromogenic pigment, causing false negatives; pigment expression can depend on growth phase and medium conditions. 2) Non-target pigment interference: other vaginal organisms may produce color or alter medium optical properties, causing false positives or altered quantitation. 3) Time-to-signal constraint: pigment development kinetics may require incubation longer than 30 minutes for low-density samples, violating the TTR goal. 4) Matrix effects: blood, mucus, or high debris on clinical swabs may change absorption baseline or quench signal, reducing accuracy. 5) Calibration drift and hardware noise: photodiode sensitivity, lamp stability, or temperature changes can shift measurements over time, requiring frequent recalibration. 6) Limited generalizability: results from controlled contrived samples may not fully translate to diverse clinical populations or geographic strain variation. 7) Strains lacking pigment phenotype: genetic variants that do not produce chromogenic reaction will not be detected by pigment-based methods regardless of optical sensitivity. 8) Regulatory and clinical adoption risks: clinical reliance on a phenotypic pigment metric may face higher evidentiary demands versus molecular assays. 9) Scalability constraints: cartridge manufacturing tolerances for optical windows and reagent lyophilization may limit batch consistency. 10) Statistical bias risk: spectrum bias if enrolled clinical population prevalence or subgroup composition differs from planned assumptions, affecting predictive values.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