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phnom_dek_slag_trajectories</w:t>
      </w:r>
    </w:p>
    <w:p>
      <w:r>
        <w:t xml:space="preserve"> </w:t>
      </w:r>
    </w:p>
    <w:p>
      <w:pPr>
        <w:pStyle w:val="Heading2"/>
      </w:pPr>
      <w:r>
        <w:t>Title</w:t>
      </w:r>
    </w:p>
    <w:p>
      <w:r>
        <w:t>Multi-proxy chemical, isotopic and microstructural analysis combined with controlled experiments to resolve recipe change and transmission in iron-smelting at Phnom Dek (Cambodia, 7th–20th c. CE)</w:t>
      </w:r>
    </w:p>
    <w:p>
      <w:r>
        <w:t xml:space="preserve"> </w:t>
      </w:r>
    </w:p>
    <w:p>
      <w:pPr>
        <w:pStyle w:val="Heading2"/>
      </w:pPr>
      <w:r>
        <w:t>Short Hypothesis</w:t>
      </w:r>
    </w:p>
    <w:p>
      <w:r>
        <w:t>Systematic changes in CaO flux and peak smelting temperature caused reproducible shifts in slag major/trace element ratios, δ57Fe values, and fayalite microtextures (crystal size and morphology), and these shifts explain the temporal chemical and textural variation observed in Phnom Dek slag horizons.</w:t>
      </w:r>
    </w:p>
    <w:p>
      <w:r>
        <w:t xml:space="preserve"> </w:t>
      </w:r>
    </w:p>
    <w:p>
      <w:pPr>
        <w:pStyle w:val="Heading2"/>
      </w:pPr>
      <w:r>
        <w:t>Related Work</w:t>
      </w:r>
    </w:p>
    <w:p>
      <w:r>
        <w:t>Existing archaeometallurgical approaches combine bulk slag chemistry, trace elements, stable and radiogenic isotopes, experimental smelts, and thermochemical modeling to infer smelting recipes and ore sources. Common workflows use SEM/EPMA for microstructure, XRD for phases, ICP-MS for trace elements, and MC-ICP-MS for Fe isotopes; experiments test temperature and flux effects; FactSage (a thermochemical model) is used to predict phase stability. Limitations remain: many studies rely on small or non-stratified samples, lack paired ore baselines, or treat compositional data without proper transforms (ignoring closure effects), producing biased multivariate results. Isotope work often lacks local ore coverage needed for provenance. Experimental series frequently lack systematic redox control or insufficient instrumentation logging. Chronologies are sometimes coarse, preventing secure temporal linkage between chemistry and social change. Data governance, metadata standards, and inter-lab QC are uneven, reducing reproducibility and cross-site comparability.</w:t>
      </w:r>
    </w:p>
    <w:p>
      <w:r>
        <w:t xml:space="preserve"> </w:t>
      </w:r>
    </w:p>
    <w:p>
      <w:pPr>
        <w:pStyle w:val="Heading2"/>
      </w:pPr>
      <w:r>
        <w:t>Abstract</w:t>
      </w:r>
    </w:p>
    <w:p>
      <w:r>
        <w:t>This study aims to reconstruct long-term technological trajectories in iron smelting at Phnom Dek by linking stratified archaeological slags to controlled experimental smelts and multi-proxy laboratory analyses. We combine horizon-based sampling and high-resolution analyses (SEM-EDS/EPMA, XRD, ICP-MS, MC-ICP-MS for δ57Fe, and micro-scale Fe2+/Fe3+ proxies) with a systematic experimental matrix that varies peak temperature, CaO flux and reducing conditions. Data will be processed using compositional-data methods (Aitchison log-ratios) and multivariate classifiers (PCA/LDA, Mahalanobis distances) and integrated with Bayesian chronological models (OxCal) to test recipe continuity and transmission. The main contribution is an empirically calibrated workflow that links recipe parameters (flux, temperature, redox) to measurable chemical and microstructural signatures, enabling probabilistic discrimination of local versus non-local ores and temporal recipe clusters. Expected outcomes are reproducible recipe clusters with quantified uncertainty, calibrated thermochemical constraints (±50–100 °C), and FAIR datasets and metadata that support ethical community engagement and museum-ready Khmer summaries.</w:t>
      </w:r>
    </w:p>
    <w:p>
      <w:r>
        <w:t xml:space="preserve"> </w:t>
      </w:r>
    </w:p>
    <w:p>
      <w:pPr>
        <w:pStyle w:val="Heading2"/>
      </w:pPr>
      <w:r>
        <w:t>Experiments</w:t>
      </w:r>
    </w:p>
    <w:p>
      <w:r>
        <w:t>Datasets: 1) Archaeological dataset: stratified slag collection from Phnom Dek with minimum 10–15 slag samples per major horizon and 8–12 priority slags for full analysis; paired ores, tuyère/furnace clay and 2–4 charcoal fragments per horizon for AMS. 2) Ore baseline: 30–50 local and regional ore/flux samples. 3) Experimental dataset: 12 controlled smelts (3 temperatures × 2 CaO fluxes × 2 redox regimes). Analytical methods: SEM-EDS/EPMA (microchemical maps and point analyses), XRD (phase ID), ICP-MS (trace/REE), MC-ICP-MS (δ57Fe), micro-Mössbauer or micro-XANES (Fe2+/Fe3+), and gas/thermocouple logs for experiments. Baselines: (A) single-element cutoff classification, (B) raw-data PCA without compositional transform. Primary pipelines: Aitchison log-ratio transform (explained: transforms compositional data to remove closure bias), PCA, LDA, Mahalanobis distance classification. Evaluation metrics: cross-validated classification accuracy (10-fold CV and leave-one-horizon-out), target ≥85% accuracy for provenance labels; Mahalanobis separation (mean distance and 95% CI) between clusters; RMSE between FactSage-modeled and experimentally measured liquidus/solidus temperatures; Cohen’s kappa for microstructure-model agreement; Bayesian posterior widths (OxCal) for phase durations. Experimental setup: instrument thermocouples at hearth and tuyère, gas sampling (CO/CO2/O2), continuous video, mass logs, and standardized quench procedures. Ablation/comparison studies: (1) full model vs without isotope data (assess δ57Fe contribution); (2) Aitchison-transformed vs raw-data PCA/LDA (assess compositional transform impact); (3) models with and without microstructural proxies (assess texture contribution). Statistical validation: 10-fold CV, bootstrapped 95% CIs, and permutation tests for cluster stability. Reproducibility: publish R/Python notebooks, raw spectra, and metadata (CSV/JSON).</w:t>
      </w:r>
    </w:p>
    <w:p>
      <w:r>
        <w:t xml:space="preserve"> </w:t>
      </w:r>
    </w:p>
    <w:p>
      <w:pPr>
        <w:pStyle w:val="Heading2"/>
      </w:pPr>
      <w:r>
        <w:t>Risk Factors And Limitations</w:t>
      </w:r>
    </w:p>
    <w:p>
      <w:r>
        <w:t>Permit and sampling risks: export or destructive-sampling permits may be delayed or restricted, limiting priority sample sets. Preservation bias: weathering or burial alteration can change slag chemistry (diagenesis), biasing provenance and recipe signals. Baseline coverage: insufficient local ore sampling density will reduce discrimination power for δ57Fe and Pb/Sr models. Scale mismatch: small experimental furnaces may not perfectly reproduce thermal gradients of ancient furnaces, limiting direct transferability (thermochemical results may differ by ±50–100 °C). Instrument and lab access: delays or differing QC across labs (inter-lab variability) can affect comparability. Data biases: compositional closure, if mishandled, leads to spurious correlations (use Aitchison transforms to avoid this). Statistical limits: multivariate classifiers may overfit with small archaeological sample sizes; leave-one-horizon-out tests may have low power. Generalization: results may be specific to Phnom Dek ores and traditions and not generalize to other Southeast Asian sites. Ethical/legal limits: embargo or MTA clauses could restrict open data release and affect downstream reproducibility.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