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Integrative microstructural and molecular reassessment of composite bow origins in Ancient Eurasia</w:t>
      </w:r>
    </w:p>
    <w:p>
      <w:r>
        <w:t xml:space="preserve"> </w:t>
      </w:r>
    </w:p>
    <w:p>
      <w:pPr>
        <w:pStyle w:val="Heading2"/>
      </w:pPr>
      <w:r>
        <w:t>Short Hypothesis</w:t>
      </w:r>
    </w:p>
    <w:p>
      <w:r>
        <w:t>Securely dated Late Bronze Age Near Eastern bow artifacts will show laminated horn/wood/sinew construction with continuous adhesive films and adhesive biomarker signatures that are detectable by micro-CT, GC-MS/FTIR, and LC-MS/MS.</w:t>
      </w:r>
    </w:p>
    <w:p>
      <w:r>
        <w:t xml:space="preserve"> </w:t>
      </w:r>
    </w:p>
    <w:p>
      <w:pPr>
        <w:pStyle w:val="Heading2"/>
      </w:pPr>
      <w:r>
        <w:t>Related Work</w:t>
      </w:r>
    </w:p>
    <w:p>
      <w:r>
        <w:t>Prior work relies on three main approaches: iconographic interpretation (reading reliefs and seals), macroscopic/material description of a few organic bow fragments (steppe examples like Pazyryk), and isolated chemical or proteomic identifications from select artifacts. Limitations include inconsistent definitions of 'composite' versus recurved single-piece bows, small and biased specimen samples, lack of high-resolution non-destructive imaging to confirm lamination, few direct radiocarbon dates on adhesives or laminates, sparse reporting thresholds for chemical/proteomic claims, incomplete isotopic baselines for sourcing, and limited replication or biomechanical calibration. Existing molecular studies often lack matched CT morphology or rigorous contamination controls, and prior biomechanical work rarely used CT-derived geometries or adhesive interface models. These weaknesses leave transmission, local invention, and chronology unresolved.</w:t>
      </w:r>
    </w:p>
    <w:p>
      <w:r>
        <w:t xml:space="preserve"> </w:t>
      </w:r>
    </w:p>
    <w:p>
      <w:pPr>
        <w:pStyle w:val="Heading2"/>
      </w:pPr>
      <w:r>
        <w:t>Abstract</w:t>
      </w:r>
    </w:p>
    <w:p>
      <w:r>
        <w:t>This study reassesses claims that full laminated composite bows (horn–wood–sinew) existed in the Late Bronze Age Near East by combining high-resolution imaging, molecular adhesive chemistry, proteomic taxonomic identification, isotopic sourcing, radiocarbon dating, and biomechanical modeling. We apply micro-CT scanning to detect internal lamination (internal layers), GC-MS/FTIR to triage adhesive types (chemical fingerprints), LC-MS/MS and ZooMS to identify animal components (proteins that indicate species), and targeted 14C and multi-isotope analyses for chronology and provenance. Replica construction and finite-element models calibrated to CT geometries will link observed structures to likely mechanical behavior. The main contribution is a preregistered, falsifiable evidence framework that ties microstructure, chemistry, taxonomy, isotopes, and dating into a single Bayesian synthesis. Expected outcomes include decisive confirmation or rejection of Late Bronze Age Near Eastern laminated composite bows, improved provenance baselines for Eurasian raw materials, and a reproducible analytical pipeline for organic weaponry studies.</w:t>
      </w:r>
    </w:p>
    <w:p>
      <w:r>
        <w:t xml:space="preserve"> </w:t>
      </w:r>
    </w:p>
    <w:p>
      <w:pPr>
        <w:pStyle w:val="Heading2"/>
      </w:pPr>
      <w:r>
        <w:t>Experiments</w:t>
      </w:r>
    </w:p>
    <w:p>
      <w:r>
        <w:t>Datasets: Pilot artifacts: Pazyryk/Altai bow fragments, Arzhan/Scythian kurgan fragments, Tarim/Yanghai long-organic bows, selected Late Bronze Age Near Eastern high-status graves (Hittite/Levantine) with preserved organics, and iconographic corpus (Hittite reliefs). Modern baseline: hair/horn/bone samples across steppe–Tarim–Near East transects for 87Sr/86Sr and δ18O. Baselines for comparison: wooden longbow controls and single-piece carved recurved bows from museum collections. Imaging and sampling: micro-CT at voxel ≤50 µm (micro-CT = high-resolution X-ray scan showing internal layers), SEM for interface/tool marks, surface swabs and ≤5 mg micro-drill sampling with chain-of-custody. Chemical/proteomic pipeline: FTIR and GC-MS for adhesive triage; LC-MS/MS proteomics and ZooMS for taxonomic ID. Reporting thresholds: PSM FDR &lt;1% and ≥2 unique taxon-specific peptides; GC-MS peaks S/N ≥3 and &gt;3× procedural blank. Isotopes and dating: 87Sr/86Sr, δ18O (keratin), δ13C/δ15N (collagen), δ34S where preserved; 14C on adhesives/laminates. Biomechanics: build ≥5 replicas per variant (horn-on-wood + sinew backing; horn-forward; wooden control), standardized draw length 68–72 cm, instrument with load cells, strain gauges, high-speed video; FE models from CT geometries with orthotropic material inputs. Evaluation metrics: binary lamination detection, veneer thickness distribution (report mean ± SD; expected horn veneers 0.5–3.0 mm), adhesive continuity fraction (continuous if ≥50% contact length), chemical biomarker detection above thresholds, proteomic taxon IDs, isotopic non-local when outside local baseline mean ±2σ, radiocarbon concordance with Late Bronze stratigraphy (posterior probability &gt;0.8). Ablation/comparisons: (1) CT at ≤50 µm versus CT at 100 µm to measure lamination detection sensitivity; (2) full pipeline (CT+GC-MS+LC-MS/MS) versus CT+GC-MS only to assess added value of proteomics; (3) replicas with and without adhesive layers to quantify adhesive effect on energy storage and failure modes. Data integration: preregister Bayesian model that ingests CT metrics, GC-MS/FTIR markers, LC-MS/MS PSM tables, isotopes, and 14C priors and propagates uncertainties to compute posterior support for composite construction per specimen.</w:t>
      </w:r>
    </w:p>
    <w:p>
      <w:r>
        <w:t xml:space="preserve"> </w:t>
      </w:r>
    </w:p>
    <w:p>
      <w:pPr>
        <w:pStyle w:val="Heading2"/>
      </w:pPr>
      <w:r>
        <w:t>Risk Factors And Limitations</w:t>
      </w:r>
    </w:p>
    <w:p>
      <w:r>
        <w:t>Preservation bias: organic adhesives, horn, and sinew often degrade and may be absent, limiting sample size. Contamination risk: modern protein contamination can produce false positives in LC-MS/MS from tiny (&lt;5 mg) samples. Sampling constraints: museums or conservators may deny micro-drilling or destructive tests. Isoscape gaps: limited modern baseline data in steppe–Tarim regions reduce isotope provenance resolution. Detection limits: micro-CT may fail to resolve very thin adhesive films below voxel threshold; chemical markers can be altered by burial diagenesis producing ambiguous signatures. Radiocarbon complications: reservoir effects or mixed-context samples can misplace dates. Statistical limits: small N may yield low Bayesian posterior power to discriminate transmission hypotheses. Generalization: results from pilot specimens may not represent wider regional practice or different time periods. Ethical and legal limits: access, export, and destructive testing permissions may restrict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