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eng_policy_recognition_bd</w:t>
      </w:r>
    </w:p>
    <w:p>
      <w:r>
        <w:t xml:space="preserve"> </w:t>
      </w:r>
    </w:p>
    <w:p>
      <w:pPr>
        <w:pStyle w:val="Heading2"/>
      </w:pPr>
      <w:r>
        <w:t>Title</w:t>
      </w:r>
    </w:p>
    <w:p>
      <w:r>
        <w:t>Mixed-methods analysis combining a theory-informed qualitative case study and supervised NLP policy analysis to examine how development-framed English-in-education policy produces misrecognition of low-SES students in a Bangladeshi school</w:t>
      </w:r>
    </w:p>
    <w:p>
      <w:r>
        <w:t xml:space="preserve"> </w:t>
      </w:r>
    </w:p>
    <w:p>
      <w:pPr>
        <w:pStyle w:val="Heading2"/>
      </w:pPr>
      <w:r>
        <w:t>Short Hypothesis</w:t>
      </w:r>
    </w:p>
    <w:p>
      <w:r>
        <w:t>Higher prevalence of development-framed policy language that prioritizes standard-English proficiency causes reduced teacher validation of students' multilingual repertoires, leading to lower attendance and lower attainment among low-socioeconomic-status students.</w:t>
      </w:r>
    </w:p>
    <w:p>
      <w:r>
        <w:t xml:space="preserve"> </w:t>
      </w:r>
    </w:p>
    <w:p>
      <w:pPr>
        <w:pStyle w:val="Heading2"/>
      </w:pPr>
      <w:r>
        <w:t>Related Work</w:t>
      </w:r>
    </w:p>
    <w:p>
      <w:r>
        <w:t>Existing work on language-in-education policy and 'linguistic human capital' analyzes how policies frame English as a route to development and social mobility. Critical sociolinguistics and governmentality studies theorize misrecognition—how institutions fail to acknowledge learners' social and linguistic realities—but these tend to be theoretical or small-scale ethnographies. Computational policy analysis and policy-corpus NLP approaches extract topics, sentiment, and framing from large document sets, yet they typically rely on keyword or topic models that do not capture nuanced markers of recognition, metaphor, or classroom enactment. Prior mixed-methods studies link policy to practice but rarely produce annotated corpora of 'recognition' features or validate NLP-derived indices against classroom interaction, student voice, and administrative outcomes. Limitations across prior approaches include: scarce ground-truth annotation schemes for recognition; weak triangulation between macro policy texts and micro classroom data; lack of validated causal tests of policy-to-practice pathways; and limited evidence from Global South school settings.</w:t>
      </w:r>
    </w:p>
    <w:p>
      <w:r>
        <w:t xml:space="preserve"> </w:t>
      </w:r>
    </w:p>
    <w:p>
      <w:pPr>
        <w:pStyle w:val="Heading2"/>
      </w:pPr>
      <w:r>
        <w:t>Abstract</w:t>
      </w:r>
    </w:p>
    <w:p>
      <w:r>
        <w:t>This study investigates whether and how English-in-education policies framed as tools for individual and social development produce misrecognition of low-socioeconomic-status (low-SES) students in a Bangladeshi school. We combine a theory-informed qualitative case study (interviews, focus groups, classroom observation, recognition diaries) with supervised natural language processing (NLP) of a policy corpus to create a measurable 'recognition' index. The project develops and validates an annotation scheme for recognition markers (frames, metaphors, genre signals) and maps policy scores to observed classroom practices and pupil outcomes (attendance, attainment, exclusions) using multilevel and mediation models. Main contributions are: a reproducible recognition annotation scheme, a validated NLP pipeline for policy-to-practice inference, and a cross-scale analysis linking discourse-level governance rationalities to classroom enactments and student outcomes. Expected impact: clearer empirical evidence of how development-framed policy language can shape teacher behaviour and student trajectories, informing practitioners and policymakers seeking more equitable language-in-education approaches.</w:t>
      </w:r>
    </w:p>
    <w:p>
      <w:r>
        <w:t xml:space="preserve"> </w:t>
      </w:r>
    </w:p>
    <w:p>
      <w:pPr>
        <w:pStyle w:val="Heading2"/>
      </w:pPr>
      <w:r>
        <w:t>Experiments</w:t>
      </w:r>
    </w:p>
    <w:p>
      <w:r>
        <w:t>Datasets: (1) Policy corpus: ~200 documents including national curriculum texts, ministry guidance, inspection frameworks, local authority communications, and NGO materials relevant to English education in Bangladesh; (2) Gold-standard annotations: 250 policy-document segments hand-labeled for frame/metaphor/recognition markers by bilingual annotators; (3) Classroom data: 50 recorded lessons (audio+transcript), 30 teacher interviews, 30 parent interviews, 40 student focus-group records, and recognition diaries from 30 students; (4) Administrative outcomes: pupil-level records for one school (N≈300 pupils) including attendance, termly attainment, and exclusions; where available augment with LA extracts or synthetic linked data to increase N. Baselines: (A) keyword-count lexicon index of development and standard-English terms; (B) unsupervised topic model index (e.g., LDA) of framing; (C) hand-coded recognition scores (human baseline). Models and methods: (1) Supervised classifier: fine-tuned transformer (contextualized embedding model) trained on annotated segments to predict recognition score; explain: transformer = modern neural model that reads text in context. Cross-validation: 5-fold stratified; report precision, recall, F1. (2) Topic-model baseline: compare topic-label mapping performance using coherence and mapping to human labels. (3) Annotation reliability: compute Krippendorff's alpha on 3 annotators; target α≥0.70. (4) Linkage analysis: compute document-level recognition scores, then use multilevel models (pupils nested in classes nested in school) to predict classroom indicators (binary teacher validation events per lesson) and pupil outcomes. Report fixed-effect coefficients, standard errors, p-values, and effect sizes (Cohen's d). (5) Mediation: test pathway policy recognition score → teacher validation (mediator) → pupil attendance/attainment (outcomes) using causal mediation with bootstrapped 95% confidence intervals. (6) Teacher vignette RCT: randomize 120 in-service teachers to read manipulated policy vignettes with either high development/standard-English framing or neutral framing; measure coded responses to simulated student utterances and rating scales of validation; analyze with logistic regression and report odds ratios. Ablation studies: (a) remove metaphor/frame features from annotation and retrain classifier; (b) compare multilingual annotations vs English-only to measure performance drop; (c) replace transformer with bag-of-words classifier. Evaluation metrics: precision/recall/F1 for classifier; Krippendorff's alpha for annotation reliability; AIC/BIC and ICC for multilevel fit; mediation effect size and bootstrap CI; accuracy and AUC for vignette experiment outcomes; out-of-sample RMSE for continuous attainment prediction. Reproducibility: publish annotation guidelines, model hyperparameters, and synthetic datasets where data permissions restrict sharing.</w:t>
      </w:r>
    </w:p>
    <w:p>
      <w:r>
        <w:t xml:space="preserve"> </w:t>
      </w:r>
    </w:p>
    <w:p>
      <w:pPr>
        <w:pStyle w:val="Heading2"/>
      </w:pPr>
      <w:r>
        <w:t>Risk Factors And Limitations</w:t>
      </w:r>
    </w:p>
    <w:p>
      <w:r>
        <w:t>Limited sample size and single-school administrative data may reduce statistical power and limit generalization beyond the case; cross-context inference is constrained. Annotation challenges: achieving Krippendorff's alpha ≥0.70 for nuanced constructs like 'recognition' is difficult, especially across languages; translator differences may introduce noise. Confounding: observational links from policy scores to pupil outcomes risk omitted-variable bias and cannot alone prove causation. NLP failure modes: transformer models may overfit to surface cues or reflect training data biases and may not capture metaphor or affect well. Transcription and multilingual processing costs are high (time and resources). Ethical and safeguarding limits: working with minors and home contexts restricts data sharing and may require redaction that reduces analytic detail. Compute limitations: fine-tuning large models requires GPU resources; budget constraints can limit model complexity. Cultural specificity: findings in a Bangladeshi school may not transfer to different national or linguistic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