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artificial_creativity_compositionality</w:t>
      </w:r>
    </w:p>
    <w:p>
      <w:r>
        <w:t xml:space="preserve"> </w:t>
      </w:r>
    </w:p>
    <w:p>
      <w:pPr>
        <w:pStyle w:val="Heading2"/>
      </w:pPr>
      <w:r>
        <w:t>Title</w:t>
      </w:r>
    </w:p>
    <w:p>
      <w:r>
        <w:t>Evaluating neuro-symbolic compositional representations for cross-domain creative transfer in AI-generated poetry, prose, and visual art</w:t>
      </w:r>
    </w:p>
    <w:p>
      <w:r>
        <w:t xml:space="preserve"> </w:t>
      </w:r>
    </w:p>
    <w:p>
      <w:pPr>
        <w:pStyle w:val="Heading2"/>
      </w:pPr>
      <w:r>
        <w:t>Short Hypothesis</w:t>
      </w:r>
    </w:p>
    <w:p>
      <w:r>
        <w:t>Encoding program-like primitives and operators in a neuro-symbolic latent representation causes higher human-rated novelty and cross-domain transfer performance than an equally-capacity dense transformer or VAE/diffusion baseline on recomposition-only test sets.</w:t>
      </w:r>
    </w:p>
    <w:p>
      <w:r>
        <w:t xml:space="preserve"> </w:t>
      </w:r>
    </w:p>
    <w:p>
      <w:pPr>
        <w:pStyle w:val="Heading2"/>
      </w:pPr>
      <w:r>
        <w:t>Related Work</w:t>
      </w:r>
    </w:p>
    <w:p>
      <w:r>
        <w:t>Existing approaches to computational creativity fall into three broad groups. Dense transformer models learn continuous token or embedding spaces and generate fluent outputs but often behave as opaque "black boxes," which limits interpretability and systematic recombination across domains. VAE and diffusion models provide controllable latent spaces for images and some text but their latent edits do not explicitly represent compositional rules, leading to limited functional transfer when a motif must be recombined in a new domain. Neuro-symbolic and program-synthesis methods explicitly represent primitives and operators, offering interpretability and rule-like recomposition, but they have been tested mainly within single domains and rarely evaluated for human judgments of creativity or cross-domain transfer. Evaluation work frequently relies on informal novelty or diversity measures and struggles with low inter-rater reliability (IRR) and weak convergent validity between automated proxies and human ratings. Transmission-chain studies of cumulative culture show utility for measuring generational novelty growth but have not been integrated with neuro-symbolic representation tests.</w:t>
      </w:r>
    </w:p>
    <w:p>
      <w:r>
        <w:t xml:space="preserve"> </w:t>
      </w:r>
    </w:p>
    <w:p>
      <w:pPr>
        <w:pStyle w:val="Heading2"/>
      </w:pPr>
      <w:r>
        <w:t>Abstract</w:t>
      </w:r>
    </w:p>
    <w:p>
      <w:r>
        <w:t>This project tests whether neuro-symbolic, program-like latent representations enable AI systems to produce outputs that humans regard as genuinely creative across domains. We operationalize "primitives" (basic motifs) and "operators" (compose, substitute, transform, repeat, nest) in a neuro-symbolic transformer that emits small abstract syntax trees (ASTs) as latent codes. We compare that model to two baselines — a dense transformer and a VAE/diffusion pipeline — on three cross-domain transfer tasks: motif-to-motif (poem → melody → visual motif), poetry-to-scene (theme → short dramatic scene), and image-to-poem (visual motif → poem). Human raters evaluate novelty, value, coherence, and interpretive depth on 7-point scales; automated proxies (embedding distance, surprisal, compression) are tested for convergent validity. The main contribution is a reproducible experimental protocol tying interpretable compositional latents to human creativity judgments and cross-domain transfer behavior. Expected outcomes are (1) evidence whether compositional latents increase perceived creativity and transfer, (2) validated evaluation metrics with IRR targets, and (3) an open pipeline for ablation studies and neural representational validation.</w:t>
      </w:r>
    </w:p>
    <w:p>
      <w:r>
        <w:t xml:space="preserve"> </w:t>
      </w:r>
    </w:p>
    <w:p>
      <w:pPr>
        <w:pStyle w:val="Heading2"/>
      </w:pPr>
      <w:r>
        <w:t>Experiments</w:t>
      </w:r>
    </w:p>
    <w:p>
      <w:r>
        <w:t>Datasets: (1) Public-domain poetry subset (Project Gutenberg + Poetry Foundation public items), (2) Public-domain short prose/drama seeds (Project Gutenberg scenes), (3) WikiArt public-domain visual motifs, (4) Public-domain melody/folk motif set (e.g., public folk tunes). All items include provenance metadata and hashes. Baselines: (A) Neuro-symbolic transformer with program-synthesis head producing AST latents of tuples (Primitive, Operator, Args); (B) Dense transformer finetuned per-domain with matched capacity; (C) VAE/diffusion pipeline for visual and poetic latent editing with matched latent dimension. Evaluation metrics: human 7-point Likert ratings for novelty, value/usefulness, coherence, interpretive depth; Krippendorff's alpha and ICC for IRR (target ≥0.70); computational proxies: embedding-distance (cosine in domain-specific contextual embeddings), surprisal/log-likelihood (model-normalized), compression ratio (gzip or learned compressor), LLM-as-judge scores, intra-batch diversity. Statistical targets: Spearman ρ ≥0.4 between at least one computational proxy and human novelty for ≥1 cross-domain task; mixed-effects models (random intercepts for item and rater) for primary tests. Transfer tasks: motif-to-motif, poetry-to-scene, image-to-poem with controlled holdouts removing recombination examples from training (compositional holdout). Ablations: (1) Representation ablation: AST/neuro-symbolic vs dense latent with equal parameters; (2) Prior ablation: training with vs without primitive priors; (3) Holdout ablation: recomposition-only test set absent from training; (4) Depth ablation: recursion depth 3 vs optional 5. Rater protocol: 5–7 trained raters per item, calibration bank with 30 gold exemplars per domain, triangle novelty tests, pairwise comparisons; adjudication adds +3 raters if α &lt; 0.70. Neural validation (optional): fMRI or EEG session with composition tasks and matched noncompositional controls; analyses: RSA (Representational Similarity Analysis) between model latents and RLPFC/PPC patterns, MVPA decoding of primitive-operator combos, ERP components (N400, P300) for expectancy/novelty. Reproducibility: locked seeds, containerized pipelines, artifact hashes, and per-item provenance manifests.</w:t>
      </w:r>
    </w:p>
    <w:p>
      <w:r>
        <w:t xml:space="preserve"> </w:t>
      </w:r>
    </w:p>
    <w:p>
      <w:pPr>
        <w:pStyle w:val="Heading2"/>
      </w:pPr>
      <w:r>
        <w:t>Risk Factors And Limitations</w:t>
      </w:r>
    </w:p>
    <w:p>
      <w:r>
        <w:t>Technical failure modes: neuro-symbolic decoder may not learn robust mappings from AST latents to naturalistic outputs, or models may collapse to surface templates instead of genuine recomposition. Data and evaluation biases: public-domain datasets may not represent cultural diversity, and raters may carry cultural or stylistic biases that reduce IRR. Scalability and compute: training three baselines with matching capacity and running human ratings and neural sessions can exceed pilot compute or budget limits. Overfitting and memorization: models might memorize training recombinations and perform well on tests via rote retrieval rather than compositional generalization, especially with small datasets. Metric validity limits: automated proxies (embedding distance, surprisal, compression) may not correlate with human judgments across all tasks, reducing convergent validity. Generalization limits: results may not transfer to commercial or copyrighted corpora, to longer-form creative tasks, or to languages/cultures not represented in the datasets. Ethical and legal limits: generated artifacts risk unclear authorship attribution and potential copyright issues for non-public inputs; neural data and participant data raise privacy concerns.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