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social_cohesion_africa_measurement</w:t>
      </w:r>
    </w:p>
    <w:p>
      <w:r>
        <w:t xml:space="preserve"> </w:t>
      </w:r>
    </w:p>
    <w:p>
      <w:pPr>
        <w:pStyle w:val="Heading2"/>
      </w:pPr>
      <w:r>
        <w:t>Title</w:t>
      </w:r>
    </w:p>
    <w:p>
      <w:r>
        <w:t>Hybrid psychometric-ethnographic measurement and spatial modeling to operationalize social cohesion in African settings</w:t>
      </w:r>
    </w:p>
    <w:p>
      <w:r>
        <w:t xml:space="preserve"> </w:t>
      </w:r>
    </w:p>
    <w:p>
      <w:pPr>
        <w:pStyle w:val="Heading2"/>
      </w:pPr>
      <w:r>
        <w:t>Short Hypothesis</w:t>
      </w:r>
    </w:p>
    <w:p>
      <w:r>
        <w:t>Adding adaptive, culturally grounded vignette and narrative-coded indicators to a harmonized core Likert battery increases cross-site measurement invariance and predictive validity of social cohesion scores in Nairobi and Tamale compared to using the core battery alone.</w:t>
      </w:r>
    </w:p>
    <w:p>
      <w:r>
        <w:t xml:space="preserve"> </w:t>
      </w:r>
    </w:p>
    <w:p>
      <w:pPr>
        <w:pStyle w:val="Heading2"/>
      </w:pPr>
      <w:r>
        <w:t>Related Work</w:t>
      </w:r>
    </w:p>
    <w:p>
      <w:r>
        <w:t>Prior approaches measure social cohesion with varied tools: single-item trust questions, social capital scales, institutional legitimacy indices, country-level aggregates, or standalone qualitative studies. Cross-national projects (e.g., Afrobarometer, V-Dem) provide large-scale items on trust and institutions but often mix concepts (trust, identity, cooperation) without a narrowly operational definition. Psychometric work uses confirmatory factor analysis (CFA) and item response theory (IRT) to validate latent constructs, but these methods face measurement invariance problems when items rely on local idioms or memories. Ethnographic and participatory methods capture rich, local meanings (proverbs, performances, oral histories) but rarely integrate into reproducible, comparable indicators. Network and geospatial analyses have been applied separately to cohesion-related phenomena but raise privacy and inference challenges. Limitations: weak operational definitions, poor cross-cultural comparability, under-integration of narrative/arts data into quantitative models, and unresolved privacy tradeoffs for geolocated and network data.</w:t>
      </w:r>
    </w:p>
    <w:p>
      <w:r>
        <w:t xml:space="preserve"> </w:t>
      </w:r>
    </w:p>
    <w:p>
      <w:pPr>
        <w:pStyle w:val="Heading2"/>
      </w:pPr>
      <w:r>
        <w:t>Abstract</w:t>
      </w:r>
    </w:p>
    <w:p>
      <w:r>
        <w:t>This study develops and tests a hybrid measurement strategy for social cohesion in African contexts that combines a harmonized core psychometric battery with locally adaptive modules (proverbs, vignettes, life histories, and performance repertoires) and spatial-network information. Problem: existing measures lack a narrow operational definition and fail to be comparable across languages and places. Approach: co-design adaptive modules with community advisory boards, run cognitive interviews and translation/back-translation, collect pilot household surveys in Nairobi and Tamale with geolocation and limited egocentric network data, and validate measures using CFA (a statistical test of factor structure), graded-response IRT (an item-model that shows how responses relate to underlying traits), multigroup invariance tests, and spatial multilevel models. Contribution: an operational definition mapped to 8 dimensions, a reproducible pipeline for integrating narrative-coded indices as latent indicators, and pragmatic geoprivacy defaults. Expected outcome: validated cross-site indicators that balance emic meaning and cross-site comparability and that are usable for policy-relevant spatial and network analysis.</w:t>
      </w:r>
    </w:p>
    <w:p>
      <w:r>
        <w:t xml:space="preserve"> </w:t>
      </w:r>
    </w:p>
    <w:p>
      <w:pPr>
        <w:pStyle w:val="Heading2"/>
      </w:pPr>
      <w:r>
        <w:t>Experiments</w:t>
      </w:r>
    </w:p>
    <w:p>
      <w:r>
        <w:t>Datasets: (1) Existing secondary: Afrobarometer microdata and V-Dem expert indicators for corresponding areas; (2) Primary pilot: two sites—Nairobi metropolitan and Tamale periurban–rural—with target sampling designs 60 clusters × 20 households (N≈1,200 per site) and alternative 50×20 (N≈1,000). Cognitive interview rounds: n=8–12 per major language/sociolect. Narrative coding pilot: 100 narratives per site for intercoder testing. Baselines: (A) core-only battery (5–7 Likert items per dimension), (B) existing Afrobarometer trust/institution items, (C) adaptive modules alone. Main models and metrics: (1) Measurement invariance via multigroup CFA (tests: configural/metric/scalar; report CFI, RMSEA, SRMR); (CFI is comparative fit index; RMSEA and SRMR measure model fit.) (2) Item functioning via graded-response IRT: item discrimination and information curves; DIF detection rates across language groups (report effect sizes in logit or Cohen’s d). (3) Predictive validity: regressions and multilevel SEM predicting observed cooperation behaviors and reported conflict events; report R-squared, standardized coefficients, and root-mean-square error. (4) Narrative integration ablation: compare models with core-only vs core+adaptive vs adaptive-only for invariance, IRT information, and predictive validity. (5) Spatial tests: multiscale geographically weighted regression (MGWR) and spatial SEM to test place heterogeneity in coefficients; report local coefficient maps and global model fit. (6) Network integration: compute egocentric bonding/bridging metrics (3–5 alters), include as observed or latent predictors in multilevel SEM; report change in explained variance. Power and sensitivity: Monte Carlo simulations for CFA/IRT under cluster designs (60×20 and 50×20) with loadings λ=0.45–0.7 and DIF sizes d=0.25–0.5; report detection power and recommended Ns. Reproducibility: preregister analysis plan and share code for CFA (lavaan), IRT (mirt), and spatial models (MGWR/SAR) in a public repository.</w:t>
      </w:r>
    </w:p>
    <w:p>
      <w:r>
        <w:t xml:space="preserve"> </w:t>
      </w:r>
    </w:p>
    <w:p>
      <w:pPr>
        <w:pStyle w:val="Heading2"/>
      </w:pPr>
      <w:r>
        <w:t>Risk Factors And Limitations</w:t>
      </w:r>
    </w:p>
    <w:p>
      <w:r>
        <w:t>Semantic drift: proverbs and metaphors may not map consistently across languages, causing non-comparable items. Intercoder reliability: narrative coding may fail to reach Krippendorff’s alpha ≥0.70, limiting use as quantitative inputs. Sample-size limits: insufficient respondents per language stratum will reduce power to detect small DIF and to recover bifactor weights. Privacy constraints: geomasking and differential privacy can reduce spatial resolution and weaken place-based inference. Network sparsity: limiting alters to protect privacy reduces ability to model full network structures. Political sensitivity: memory-place questions about contested events may trigger refusal or harm and complicate IRB approvals. Generalizability: results from two pilot sites may not scale to all African contexts with different institutional forms. Computational costs: Bayesian multilevel and spatial SEM models can be slow, requiring high compute for convergence. Measurement model failure modes: bifactor or multigroup models may not converge or may show severe noninvariance, limiting cross-site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