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when_do_we_experience_effort</w:t>
      </w:r>
    </w:p>
    <w:p>
      <w:r>
        <w:t xml:space="preserve"> </w:t>
      </w:r>
    </w:p>
    <w:p>
      <w:pPr>
        <w:pStyle w:val="Heading2"/>
      </w:pPr>
      <w:r>
        <w:t>Title</w:t>
      </w:r>
    </w:p>
    <w:p>
      <w:r>
        <w:t>Multimodal trialwise modeling of subjective effort to dissociate interoceptive prediction errors from predicted effort cost</w:t>
      </w:r>
    </w:p>
    <w:p>
      <w:r>
        <w:t xml:space="preserve"> </w:t>
      </w:r>
    </w:p>
    <w:p>
      <w:pPr>
        <w:pStyle w:val="Heading2"/>
      </w:pPr>
      <w:r>
        <w:t>Short Hypothesis</w:t>
      </w:r>
    </w:p>
    <w:p>
      <w:r>
        <w:t>Transient increases in interoceptive prediction error (IPE) caused by unexpected perturbations produce increases in reported subjective effort independent of choice willingness and predicted effort cost.</w:t>
      </w:r>
    </w:p>
    <w:p>
      <w:r>
        <w:t xml:space="preserve"> </w:t>
      </w:r>
    </w:p>
    <w:p>
      <w:pPr>
        <w:pStyle w:val="Heading2"/>
      </w:pPr>
      <w:r>
        <w:t>Related Work</w:t>
      </w:r>
    </w:p>
    <w:p>
      <w:r>
        <w:t>Existing approaches explain effort either as a cost signal (e.g., expected energetic or opportunity cost driving choices) or as a control-demand prediction error in reinforcement learning (RL). Other lines use active inference and interoception to link bodily signals and perception, but they rarely separate felt effort from choice behavior. Prior neuroimaging and psychophysiological work implicates dorsal anterior cingulate cortex (dACC) in control demand and ventral striatum/mesolimbic systems in willingness, and anterior insula in body-state representations, yet most studies use block designs, aggregate ratings, or single-modality measures that confound predicted cost, interoceptive errors, and neuromodulatory gain. Limitations: (1) lack of trialwise multimodal measures aligned to single events, (2) conflation of willingness-to-act with felt effort in models, (3) sparse causal manipulations of neuromodulatory tone or interoceptive mismatch, and (4) weak identifiability analyses for latent terms (predicted cost, IPE, interoceptive precision) under realistic trial counts.</w:t>
      </w:r>
    </w:p>
    <w:p>
      <w:r>
        <w:t xml:space="preserve"> </w:t>
      </w:r>
    </w:p>
    <w:p>
      <w:pPr>
        <w:pStyle w:val="Heading2"/>
      </w:pPr>
      <w:r>
        <w:t>Abstract</w:t>
      </w:r>
    </w:p>
    <w:p>
      <w:r>
        <w:t>We address when and why agents report feeling effort by testing whether subjective effort arises primarily from resisting directed affective signals (hunger, pain, temptation) via mismatches between expected and felt bodily signals. We propose a multimodal, trialwise framework that jointly models predicted effort cost, interoceptive prediction errors (IPEs; mismatches between expected and observed bodily signals), and interoceptive precision (gain on bodily signals). The main contribution is an empirically testable separation of felt effort from willingness-to-act using behavioral choices, trialwise effort ratings, fMRI, EEG, pupillometry, ECG/HRV, and EMG. The approach predicts that IPEs will drive reported effort more than choice decline, that dACC encodes predicted control demand while anterior insula tracks IPE and precision, and that neuromodulatory tone (DA/NA) shifts the mapping from objective demand to subjective effort. Expected outcomes are (1) validated model families with parameter identifiability, (2) neural and physiological signatures that dissociate IPE from predicted cost, and (3) preregistered hypotheses ready for causal pharm/TMS tests.</w:t>
      </w:r>
    </w:p>
    <w:p>
      <w:r>
        <w:t xml:space="preserve"> </w:t>
      </w:r>
    </w:p>
    <w:p>
      <w:pPr>
        <w:pStyle w:val="Heading2"/>
      </w:pPr>
      <w:r>
        <w:t>Experiments</w:t>
      </w:r>
    </w:p>
    <w:p>
      <w:r>
        <w:t>Datasets: collect within-subject pilot (n=30) with fMRI + behavior and separate EEG-only cohort (n=30–40). Main cohort target n=40–60. Tasks: cognitive adaptive N-back with trialwise predictive cues and within-trial surprise increases to induce predicted-cost errors and IPEs; physical isometric handgrip with sustained exertion and unexpected force/duration perturbations to generate IPEs. Trials: 120–160 trials per task/session with 60–80 perturbation trials. Sensors: fMRI multiband EPI (TR 600–800 ms), EEG 64–128 ch (1 kHz), pupillometry (500–1000 Hz), ECG/HRV, respiration, EMG, EDA. Baselines: (A) predicted-cost RL model (cost-only), (B) RL + explicit IPE + interoceptive-precision gating, (C) active-inference model with precision dynamics. Evaluation metrics: parameter recovery R2 for key latents (predicted-cost, IPE, precision) with target R2&gt;0.60; credible-interval coverage &gt;=90% for latents; WAIC and LOO for model comparison; out-of-sample predictive accuracy (holdout trials) for subjective effort ratings (mean absolute error) and choice (accuracy/AUC); trialwise correlations between IPE and effort ratings (Pearson r) and mediation effect size (proportion mediated) for IPE→insula→subjective effort. Experimental setup: hierarchical Bayesian fits (PyMC/Stan) with weakly informative priors; single-trial fMRI betas via LS-S GLM (primary) and FIR sensitivity check; link behavioral outputs to DDM parameters where applicable. Ablations: (1) remove IPE term from full model, (2) remove interoceptive precision gating, (3) collapse predicted-cost and IPE into single latent. Comparisons: compare full model vs ablations on WAIC/LOO and recovery metrics; test pharm/TMS crossover (within-subject n=24–36) as downstream causal manipulation: methylphenidate vs placebo to test willingness changes and clonidine vs placebo to test precision/gain changes. Predefined acceptance: retain model families that meet R2&gt;0.60 and CI coverage &gt;=90%; otherwise iterate task design or priors before preregistration.</w:t>
      </w:r>
    </w:p>
    <w:p>
      <w:r>
        <w:t xml:space="preserve"> </w:t>
      </w:r>
    </w:p>
    <w:p>
      <w:pPr>
        <w:pStyle w:val="Heading2"/>
      </w:pPr>
      <w:r>
        <w:t>Risk Factors And Limitations</w:t>
      </w:r>
    </w:p>
    <w:p>
      <w:r>
        <w:t>Technical failure modes: MR-compatible pupillometry or EMG may fail or have low valid-sample rates (&lt;85%), and simultaneous EEG-fMRI introduces gradient and ballistocardiogram artifacts that can reduce signal quality. Data biases: participant fatigue, habituation to perturbations, or demand characteristics may confound trialwise ratings; samples may not generalize beyond healthy adult volunteers. Identifiability limits: latent IPE and precision may be weakly separable under low trial counts or high noise, requiring tighter priors or more trials. Scalability and compute: hierarchical Bayesian fits with single-trial neural regressors and multimodal data are computationally intensive and may require high-performance compute for parameter-recovery simulations. Generalization limits: results may not extend to naturalistic or clinical populations where baseline interoceptive sensitivity or neuromodulatory tone differ. Ethical/medical constraints: pharm/TMS manipulations have safety and regulatory limits that may restrict dose ranges and sample sizes.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