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history_therapy_rhnt</w:t>
      </w:r>
    </w:p>
    <w:p>
      <w:r>
        <w:t xml:space="preserve"> </w:t>
      </w:r>
    </w:p>
    <w:p>
      <w:pPr>
        <w:pStyle w:val="Heading2"/>
      </w:pPr>
      <w:r>
        <w:t>Title</w:t>
      </w:r>
    </w:p>
    <w:p>
      <w:r>
        <w:t>A randomized evaluation of structured archival history therapy to improve meaning-making and psychological well-being in adults with low meaning</w:t>
      </w:r>
    </w:p>
    <w:p>
      <w:r>
        <w:t xml:space="preserve"> </w:t>
      </w:r>
    </w:p>
    <w:p>
      <w:pPr>
        <w:pStyle w:val="Heading2"/>
      </w:pPr>
      <w:r>
        <w:t>Short Hypothesis</w:t>
      </w:r>
    </w:p>
    <w:p>
      <w:r>
        <w:t>Participants who receive History Therapy, defined as structured archival discovery combined with guided narrative re-authoring, will show greater increases in a pre-registered meaning-in-life composite at post-treatment than participants in an active control condition.</w:t>
      </w:r>
    </w:p>
    <w:p>
      <w:r>
        <w:t xml:space="preserve"> </w:t>
      </w:r>
    </w:p>
    <w:p>
      <w:pPr>
        <w:pStyle w:val="Heading2"/>
      </w:pPr>
      <w:r>
        <w:t>Related Work</w:t>
      </w:r>
    </w:p>
    <w:p>
      <w:r>
        <w:t>Relevant prior approaches include narrative therapies and life-review interventions that use storytelling and structured reflection to enhance meaning; logotherapy approaches that target purpose and presence; bibliotherapy and expressive writing which use external materials to prompt reflection; and methods that measure narrative coherence and agency with blinded coding. Work in archival studies and digital humanities has developed provenance, rights, and metadata standards for handling primary documents. Current limitations are: most clinical studies use small samples or uncontrolled designs, reducing causal claims; existing interventions rarely integrate item-level archival governance or dynamic consent; measurement approaches often lack a unified composite linking coherence, agency, presence, and purpose; there are no widely used methods for timestamping discrete archival-discovery events and linking them analytically to outcome change; and many protocols do not embed trauma-informed archival pacing or descendant-rights processes, limiting cultural safety and scalability.</w:t>
      </w:r>
    </w:p>
    <w:p>
      <w:r>
        <w:t xml:space="preserve"> </w:t>
      </w:r>
    </w:p>
    <w:p>
      <w:pPr>
        <w:pStyle w:val="Heading2"/>
      </w:pPr>
      <w:r>
        <w:t>Abstract</w:t>
      </w:r>
    </w:p>
    <w:p>
      <w:r>
        <w:t>This project tests History Therapy, a structured intervention that pairs participant-led archival discovery with guided narrative re-authoring to improve meaning-making and psychological well-being. The problem addressed is persistent low meaning and fragmented life narratives in some adults. The approach uses curated historical materials selected with participant input, a manualized trauma-informed session sequence, blinded narrative-coherence coding, and psychometrically validated scales combined into a pre-registered meaning composite. Main contributions are: (1) an operationalized causal chain linking discrete archival discoveries to changes in narrative structure, agency, and experienced meaning; (2) new scale development for archival engagement and agency-in-reauthoring with validation procedures; and (3) a reproducible mixed-methods analysis pipeline that integrates timestamped archival events, blinded narrative ratings, and longitudinal mediation models. Expected outcomes are empirical evidence about whether and how archival exposure catalyzes narrative re-authoring and measurable increases in meaning, plus validated measures and governance specifications for ethically scaling archival-therapy research.</w:t>
      </w:r>
    </w:p>
    <w:p>
      <w:r>
        <w:t xml:space="preserve"> </w:t>
      </w:r>
    </w:p>
    <w:p>
      <w:pPr>
        <w:pStyle w:val="Heading2"/>
      </w:pPr>
      <w:r>
        <w:t>Experiments</w:t>
      </w:r>
    </w:p>
    <w:p>
      <w:r>
        <w:t>Datasets: recruit adult participants from community and clinical settings; archival material sets include digitized public records, community archives, and participant-provided family materials with item-level consent metadata. Pilot: single-arm N=24-30. Definitive RCT: two-arm randomized trial N=128 (64 per arm) comparing History Therapy versus active control (structured life-history reflection without archival materials). Optional three-arm design for ablation: archival-only, re-authoring-only, and full History Therapy. Measures: primary outcome = pre-registered meaning composite computed from MLQ-Presence, Purpose-in-Life short form, blinded rater narrative coherence score, and Agency-in-Reauthoring scale; secondary outcomes = WHO-5, PHQ-9, PCL-5, Social Connectedness; process measures = Archival Engagement Scale (AES), session fidelity checklists, weekly single-item EMA for meaning and wellbeing. Scale validation: AES and Agency scale item generation, cognitive interviews n~12, pilot EFA N=120-150, CFA in independent sample N&gt;=200, report alpha, McDonald omega, test-retest ICC, and IRT item parameters. Coding: blind double-coding of 20-30% transcripts, report ICC. Assessment schedule: baseline, mid (session 4), post (week 8), 3- and 6-month follow-ups, weekly EMA. Analysis: primary test using linear mixed-effects models (statistical models that handle repeated measures within participants) for time by group effects on the composite; report intention-to-treat estimates. Mechanism tests: time-lagged multilevel mediation models where timestamped archival-discovery events predict subsequent changes in narrative coherence and agency, which predict the composite; use bootstrapped confidence intervals. Ablations: compare full intervention versus control, and test component effects by excluding archival discovery or guided re-authoring in alternate arms. Weighting study: preregister and compare three composite weighting strategies: clinically anchored, equal weights, and empiric factor scores from EFA/CFA. Evaluation metrics: primary = standardized mean difference on the composite at post; secondary = trajectories of EMA, effect sizes on WHO-5 and PHQ-9, ICC for coding, reliability and fit indices for scale models (CFI, RMSEA), and mediation effect sizes. Reproducibility: publish analysis scripts and provenance-tagged de-identified data packages consistent with participant permissions.</w:t>
      </w:r>
    </w:p>
    <w:p>
      <w:r>
        <w:t xml:space="preserve"> </w:t>
      </w:r>
    </w:p>
    <w:p>
      <w:pPr>
        <w:pStyle w:val="Heading2"/>
      </w:pPr>
      <w:r>
        <w:t>Risk Factors And Limitations</w:t>
      </w:r>
    </w:p>
    <w:p>
      <w:r>
        <w:t>Ethical and safety risks: archival discoveries may trigger distress or retraumatization; descendant-rights conflicts may restrict usable materials; dynamic consent revocations can reduce analyzable data. Measurement limits: newly developed AES and Agency scales may not generalize beyond study samples; blinded narrative coding is resource-intensive and subject to rater bias. Design risks: small pilot samples limit power for mechanism tests; mediation estimates require larger N (&gt;=200) for stability. Technological constraints: implementing ABAC and PROV-O metadata with item-level revocation requires engineering resources and may slow data processing. Privacy risks: narrative text and archival items can enable re-identification even after redaction. Generalization limits: results may not transfer across cultures where archival materials, historical meanings, or narrative norms differ. Scalability limits: manual archival curation and trauma-informed facilitation are time-consuming and may constrain dissemination at scale.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