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single_indentation_sibhudu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Single-indentation measurement combined with UPV and portable spectroscopy to predict hardness and stiffness of Sibhudu tool-stones and their relation to raw-material selection and tool shape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single co-located instrumented indentation test combined with ultrasonic pulse velocity (UPV) and portable spectroscopy will predict local hardness (H) and reduced modulus (E_r, a measure of stiffness) of Sibhudu tool-stones with R2 ≥ 0.7 for continuous predictions and ≥80% accuracy for high vs low fracture-risk classification.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rely on multi-step laboratory workflows: full petrographic characterization (thin sections, XRD, SEM/EDS, EBSD), separate nano-/micro-indentation campaigns, ultrasonic tomography, and destructive sampling. Portable methods (pXRF, Raman, FTIR) have been used to infer composition but rarely calibrated co-locally against instrumented indentation and UPV. Limitations of current methods include high cost and limited access to nanoindenters, destructive sampling requirements, sparse spatial co-location of measurements, weak handling of anisotropy (directional variation in properties), inconsistent spectral preprocessing, and limited functional validation linking measured mechanical properties to actual edge-retention or fracture outcomes. There is also a lack of standardized protocols, uncertainty quantification for field proxies, and inter-lab round-robins to demonstrate reproducibility.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reproducible single-test proxy that combines one co-located instrumented indentation (continuous-stiffness measurement), ultrasonic pulse velocity (UPV), and portable spectroscopy (pXRF/Raman/FTIR) to estimate hardness (H) and reduced modulus (E_r, stiffness) of stone raw materials from the Middle Stone Age site Sibhudu. The core contribution is a field-capable protocol and predictive model suite that maps single-test outputs to lab-bench mechanical values anchored to a petrographic reference set. The method targets rapid, low-impact characterization of 20–25 stratified nodules across 4–5 lithologies and links predicted H and E_r to experimentally measured edge-retention and fracture-risk outcomes on knapped tools. Expected outcomes are: (1) validated predictive models (R2 ≥ 0.7) for H and E_r; (2) operational acceptance criteria and uncertainty estimates for field deployment; and (3) demonstration of which minimal co-located measurements suffice to explain raw-material selection and tool shape at Sibhudu. This will enable broader archaeological screening where full lab workflows are impractical.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set of 20–25 stratified nodules from Sibhudu covering 4–5 lithologies (cryptocrystalline silica, fine quartzite, feldspathic/micaceous, clay-altered) plus ~48–60 experimentally knapped tools (≈12 per lithology) for mechanized and human trials. Baselines: (A) full lab reference workflow: thin sections, XRD, SEM/EDS, EBSD, helium pycnometry, micro-CT, and multi-scale nano-/micro-indentation grids producing benchmark H and E_r; (B) single-test proxy: one co-located CSM indentation grid + UPV (P &amp; S) + portable spectroscopy (pXRF ± Raman/FTIR). Evaluation metrics: R2 and RMSE for continuous H and E_r predictions; classification accuracy, precision, recall, F1 for high vs low fracture-risk; calibration coverage (95% prediction-interval coverage); orientation-specific RMSE; inter-lab coefficient of variation for round-robin. Measurement setup: indentation grids 8×8–12×12 per microstructural domain; loads by grain-size class: fine 10–20 N, medium 20–40 N, coarse 40–80 N; dwell 5–10 s; spacing ≥3–5× contact half-width; discard indents with cracking or pile-up (surface deformation). UPV: fixed transducer geometry and path length, averaging ≥10 measurements per path; record P- and S-wave velocities. Spectra: fixed instrument settings, certified-reference checks each session, preprocessing: spike removal, baseline correction, conservative smoothing, continuum removal, internal normalization; extract ratios (e.g., Si/(Al+Fe)), Raman peak position and FWHM, FTIR clay indices. EBSD: map where permitted, define 2–4 orientation cohorts per lithology and store cohort IDs. Modeling and validation: centralized DB with unique IDs; nested cross-validation stratified by lithology and EBSD cohort; models: elastic net, PLSR (partial least squares regression) for interpretability, and RF/GBM ensembles for accuracy; uncertainty via bootstrap prediction intervals, Bayesian credible intervals, and explore conformal prediction for guaranteed coverage. Ablations: (1) remove UPV, (2) remove spectroscopy, (3) single-load vs multi-load indentation, (4) coarse vs dense grid spacing, (5) exclude EBSD cohorts. Comparison: single-test model vs full lab reference in predicting benchmark H and E_r and in classification of fracture risk from knapping trials. Delivery: report model weights, feature importance, oriented error maps, and reproducible code and data.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microcracking or indentation-induced damage may corrupt H/E_r measurements; surface roughness or weathering can bias spectra and indentation contact area; instrument calibration drift (indenter tip area function, UPV transducer response) can shift results. Data biases: limited pilot size (20–25 nodules) may under-sample rare lithologies or within-lithology heterogeneity. Anisotropy: strong orientation effects may require denser EBSD mapping than permitted, reducing field applicability. Destructive sampling and permissions: conservation constraints may limit ground-truth petrography and EBSD. Modeling limits: overfitting risk with high-dimensional spectral features relative to sample count; limited generalization beyond Sibhudu lithologies and alteration states. Reproducibility: inter-lab differences in instrument models and coupling methods may inflate variability. Ethical and governance constraints: sharing raw 3D models or location metadata may conflict with cultural sensitivity and data-sovereignty requirements for heritage stakeholders.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