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pygmalion_effects_ai</w:t>
      </w:r>
    </w:p>
    <w:p>
      <w:r>
        <w:t xml:space="preserve"> </w:t>
      </w:r>
    </w:p>
    <w:p>
      <w:pPr>
        <w:pStyle w:val="Heading2"/>
      </w:pPr>
      <w:r>
        <w:t>Title</w:t>
      </w:r>
    </w:p>
    <w:p>
      <w:r>
        <w:t>Mixed-methods causal analysis using multilingual NLP, vignette randomized controlled trials, and agent-based simulation to measure how cultural narratives and policies shape AI development and public perception</w:t>
      </w:r>
    </w:p>
    <w:p>
      <w:r>
        <w:t xml:space="preserve"> </w:t>
      </w:r>
    </w:p>
    <w:p>
      <w:pPr>
        <w:pStyle w:val="Heading2"/>
      </w:pPr>
      <w:r>
        <w:t>Short Hypothesis</w:t>
      </w:r>
    </w:p>
    <w:p>
      <w:r>
        <w:t>Exposure to affirmative AI narratives (promise/inevitability frames) causally increases engineering teams' allocation of resources to autonomous features and reduces allocation to safety and explainability features, relative to exposure to cautionary narratives, controlling for jurisdiction and funding levels.</w:t>
      </w:r>
    </w:p>
    <w:p>
      <w:r>
        <w:t xml:space="preserve"> </w:t>
      </w:r>
    </w:p>
    <w:p>
      <w:pPr>
        <w:pStyle w:val="Heading2"/>
      </w:pPr>
      <w:r>
        <w:t>Related Work</w:t>
      </w:r>
    </w:p>
    <w:p>
      <w:r>
        <w:t>Existing work splits into three strands: (1) discourse and framing studies that identify how media and culture shape public expectations, (2) computational narrative and frame-detection approaches using NLP to quantify frame salience and sentiment, and (3) experimental and simulation methods (vignette studies, agent-based models) that test how information influences behavior. Limitations across these strands include weak linkage between measured narratives and concrete engineering outputs (budget, hiring, roadmaps), scarce multilingual and cross-jurisdictional corpora for comparative analysis, limited use of hybrid workflows that combine expert coding with active-learning classifiers, and few studies that align narrative time series with causal inference methods (difference-in-differences, synthetic control). Prior ABMs often rely on ad-hoc priors rather than empirically derived narrative indices, and ethics/legal treatments rarely integrate narrative-disclosure instruments required to access proprietary development artifacts.</w:t>
      </w:r>
    </w:p>
    <w:p>
      <w:r>
        <w:t xml:space="preserve"> </w:t>
      </w:r>
    </w:p>
    <w:p>
      <w:pPr>
        <w:pStyle w:val="Heading2"/>
      </w:pPr>
      <w:r>
        <w:t>Abstract</w:t>
      </w:r>
    </w:p>
    <w:p>
      <w:r>
        <w:t>We study whether and how cultural narratives and policy actions shape AI design choices and public perception. We combine multilingual natural language processing (NLP) to build a time series Narrative Frames Index (NFI), vignette randomized controlled trials (RCTs) with engineers/CTOs, and an agent-based model (ABM) to test causal links. The NFI measures frame type (promise, threat, inevitability, augmentation), salience (how often a frame appears), valence (positive or negative attitude), intensity (strength of language) and actor attribution (who is referenced). NLP models are trained on a gold-standard annotated corpus and explained with simple metrics (F1 for classifiers; Krippendorff’s alpha for coder agreement). Vignette RCTs measure budget allocation and hiring priorities after randomized frame exposure. The ABM uses NFI time series as inputs to simulate feedback loops between media, funders, engineers, and regulators. The main contribution is an empirically grounded, reproducible pipeline that connects cultural narratives to measurable engineering outcomes and policy-relevant indicators, enabling testable claims about expectation-driven effects on AI trajectories.</w:t>
      </w:r>
    </w:p>
    <w:p>
      <w:r>
        <w:t xml:space="preserve"> </w:t>
      </w:r>
    </w:p>
    <w:p>
      <w:pPr>
        <w:pStyle w:val="Heading2"/>
      </w:pPr>
      <w:r>
        <w:t>Experiments</w:t>
      </w:r>
    </w:p>
    <w:p>
      <w:r>
        <w:t>Datasets: multilingual corpora (news archives, policy texts, investor communications, social media streams) from four jurisdictions (US, EU, China, India); outcome datasets: VC/grant flows (quarterly), job postings and LinkedIn hiring signals (weekly/monthly), patent filings with metadata (monthly), GitHub commits/releases (weekly), and internal roadmap/issue-tracker excerpts where NDAs permit. Annotation and NLP: create gold-standard sample N=1,000 items stratified by site (≈250 per jurisdiction); Krippendorff’s alpha target &gt;0.7 on core NFI codes; train multilingual encoder classifier (e.g., XLM-R, a model that produces text embeddings usable across languages) with active learning; report macro-F1 on held-out folds; perform back-translation checks on 10–15% of items. Vignette RCT: recruit N=600 engineers/CTOs (≈150 per jurisdiction); randomize frame_type (promise, threat, inevitability, augmentation) × intensity (low/high) factorially; primary outcomes: budget allocation vector (percent to autonomy, safety, explainability), discrete architecture choice, risk-tolerance slider; sample size powered to detect a 7–10 percentage-point shift in budget allocation (α=0.05, power=0.8). Baselines: (A) sentiment-only metric, (B) single-source media counts, (C) no-narrative control in RCT. Causal inference on observational time series: implement difference-in-differences (DiD) and synthetic-control around exogenous shocks (policy votes, model failures), Granger causality tests, and vector autoregression; align event windows to quarterly outcome data. Ablation studies: (1) remove intensity from NFI to test its contribution to predictive power; (2) compare models trained with full expert-coded gold standard versus automated labels (no expert reconciliation); (3) ABM parameter ablation removing actor-attribution feedback. ABM experiments: minimal Mesa implementation with agent types (engineers, funders, journalists, regulators), parameter sweeps over persuasion elasticity and signal amplification; report amplification_factor (ratio of change in resources to change in narrative salience), time-to-tipping, and distributional outcomes across jurisdictions. Pre-registration: register RCT manipulations and primary outcomes before coder calibration. Evaluation metrics: macro-F1 for NFI classifiers, Krippendorff’s alpha for human coding, DiD treatment effect estimates with confidence intervals, p-values for RCT outcomes, amplification_factor and time-to-tipping for ABM.</w:t>
      </w:r>
    </w:p>
    <w:p>
      <w:r>
        <w:t xml:space="preserve"> </w:t>
      </w:r>
    </w:p>
    <w:p>
      <w:pPr>
        <w:pStyle w:val="Heading2"/>
      </w:pPr>
      <w:r>
        <w:t>Risk Factors And Limitations</w:t>
      </w:r>
    </w:p>
    <w:p>
      <w:r>
        <w:t>Access and legal: paywalled media, proprietary investor communications, and internal roadmaps may be unavailable due to NDAs or IRB constraints. Annotation and cross-cultural validity: intercoder disagreement and imperfect back-translation may reduce reliability; some frames may be culture-specific and resist universal coding. NLP limitations: multilingual classifiers may underperform on low-resource languages or domain-specific jargon, lowering macro-F1 below targets. Causal identification: exogenous shocks may be confounded by concurrent events (policy and market changes), limiting causal claims. ABM limits: model assumptions and priors may not capture real organizational complexity; simulation outcomes depend strongly on parameter choices. Scalability and compute: training multilingual encoders and running parameter sweeps can be compute-intensive. Generalization: results from sampled jurisdictions and organizations may not generalize to other countries, sectors, or non-digital AI domains.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