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peircean_semiosis_grounding</w:t>
      </w:r>
    </w:p>
    <w:p>
      <w:r>
        <w:t xml:space="preserve"> </w:t>
      </w:r>
    </w:p>
    <w:p>
      <w:pPr>
        <w:pStyle w:val="Heading2"/>
      </w:pPr>
      <w:r>
        <w:t>Title</w:t>
      </w:r>
    </w:p>
    <w:p>
      <w:r>
        <w:t>Contrastive triadic probing of transformers to separate referent grounding failures from interpretant drift in large language models</w:t>
      </w:r>
    </w:p>
    <w:p>
      <w:r>
        <w:t xml:space="preserve"> </w:t>
      </w:r>
    </w:p>
    <w:p>
      <w:pPr>
        <w:pStyle w:val="Heading2"/>
      </w:pPr>
      <w:r>
        <w:t>Short Hypothesis</w:t>
      </w:r>
    </w:p>
    <w:p>
      <w:r>
        <w:t>Training a transformer with a contrastive objective that binds sign vehicles V to disambiguated referents O causes a ≥10% relative increase in MI_index I(V;O|C) and reduces interpretant KL divergence to aggregated human interpretants by at least 0.2 nats on the synthetic pilot.</w:t>
      </w:r>
    </w:p>
    <w:p>
      <w:r>
        <w:t xml:space="preserve"> </w:t>
      </w:r>
    </w:p>
    <w:p>
      <w:pPr>
        <w:pStyle w:val="Heading2"/>
      </w:pPr>
      <w:r>
        <w:t>Related Work</w:t>
      </w:r>
    </w:p>
    <w:p>
      <w:r>
        <w:t>Existing work falls into three related areas: representational probes that map internal activations to labels, causal interventions in model activations (activation patching and ablation), and contrastive grounding or multimodal alignment objectives. Probes recover information but often leak task signal (probe leakage) and suffer miscalibrated probabilities. Activation-patching studies show per-head and per-layer causal effects but typically do not track evolving internal meaning across generation steps. Contrastive multimodal objectives increase alignment between modalities but are usually evaluated on coarse downstream tasks rather than per-sign grounding. Mutual information estimators used in past work are biased or high-variance without bootstrap controls. Overall, prior approaches either lack temporal modeling of interpretants, avoid causal attribution across components with multiple mediators, or fail to operationalize referent-versus-interpretant failure modes in controlled, disambiguated humanities-style examples.</w:t>
      </w:r>
    </w:p>
    <w:p>
      <w:r>
        <w:t xml:space="preserve"> </w:t>
      </w:r>
    </w:p>
    <w:p>
      <w:pPr>
        <w:pStyle w:val="Heading2"/>
      </w:pPr>
      <w:r>
        <w:t>Abstract</w:t>
      </w:r>
    </w:p>
    <w:p>
      <w:r>
        <w:t>We study the 'hall of mirrors' failure mode of large language models through a Peircean triad: sign vehicle (V), referent (O), and interpretant (I). The problem is that models can mirror linguistic surfaces without stable, indexical grounding in external referents, leading to interpretant drift and hallucination. We propose a measurable operationalization: train a transformer baseline with a contrastive InfoNCE objective that binds V to canonical O while instrumenting layerwise activations and temporal probes that recover interpretant trajectories I_t across inference steps. Main contributions are (1) a replicable pilot dataset of synthetic scene-graph plus utterance pairs with multiple human interpretants, (2) a probe and causal-intervention suite (O-swap, activation patching, causal scrubbing) that separates O-grounding failures from internal interpretant drift, and (3) a metric set including MI_index (I(V;O|C)), probe recoverability, ACE/OATE causal effect sizes, and interpretant KL divergence to humans. Expected outcome: a concrete empirical test for whether contrastive V↔O binding yields stronger grounding and reduced interpretant drift.</w:t>
      </w:r>
    </w:p>
    <w:p>
      <w:r>
        <w:t xml:space="preserve"> </w:t>
      </w:r>
    </w:p>
    <w:p>
      <w:pPr>
        <w:pStyle w:val="Heading2"/>
      </w:pPr>
      <w:r>
        <w:t>Experiments</w:t>
      </w:r>
    </w:p>
    <w:p>
      <w:r>
        <w:t>Dataset: synthetic multimodal pilot of 300 scene-graph + utterance items. Each item records V span(s), canonical O id(s) with attributes, context anchors C, and multiple human interpretants I_h with confidence and salience scores. Data split: 80% train, 10% dev, 10% test, stratified by referent types. Baseline model: 7B transformer checkpoint (e.g., Llama-2-7B or equivalent). Baselines: (A) baseline fine-tune only, (B) baseline + contrastive InfoNCE binding V↔O, (C) multimodal contrastive vs text-only contrastive. Probes: (1) layerwise linear probes predicting O from per-layer activations; (2) temporal probe architecture variants: MLP+GRU and MLP+temporal convolution over concatenated layer features. Training: fine-tune baselines for equal steps; train probes on held-out dev with ridge (L2) regularization and early stopping. Metrics: MI_index measured during training via InfoNCE; post-hoc MI estimates via MINE and kNN-MI with 1,000 bootstrap resamples for CIs. Probe recoverability: accuracy, AUC, Brier score, expected calibration error (ECE). Causal metrics: ACE and OATE estimated via paired O-swap counterfactuals (do(O) with V fixed), activation patching per-layer/head, and causal scrubbing; apply permutation tests and bootstrap CIs; report Cohen's d effect sizes and FDR-corrected p-values across multiple components. Interpretant alignment: KL divergence D_I between model-derived I (from temporal probe) and aggregated I_h. Behavioral tests: referential success rate, hallucination rate, and human alignment ratings on test items. Ablations: (i) remove contrastive loss, (ii) text-only vs multimodal, (iii) probe ablation: linear-only vs GRU vs temporal conv, (iv) limited activation patching (top-N heads) vs full-layer. Experimental protocol: run 5 random seeds per condition; use pre-registered success thresholds: probe acc≥0.75, MI_index relative gain≥10%, ACE p&lt;0.05 and d≥0.3, D_I reduction≥0.2 nats. Analysis: report bootstrap CIs, permutation p-values, and apply Benjamini–Hochberg FDR correction for multiple component scans.</w:t>
      </w:r>
    </w:p>
    <w:p>
      <w:r>
        <w:t xml:space="preserve"> </w:t>
      </w:r>
    </w:p>
    <w:p>
      <w:pPr>
        <w:pStyle w:val="Heading2"/>
      </w:pPr>
      <w:r>
        <w:t>Risk Factors And Limitations</w:t>
      </w:r>
    </w:p>
    <w:p>
      <w:r>
        <w:t>Annotation bias: human interpretants may reflect annotator cultures and may not generalize; aggregated weights (confidence×salience) can overweight a biased annotator. Probe leakage: probes may learn to reconstruct labels from superficial signals rather than true internal meaning; null-control probes are necessary but do not fully eliminate this risk. MI estimation: MINE and kNN-MI can be biased or high variance on small samples; bootstrap CIs may still be wide with 300 items. Causal identification: confounders and mediator interactions inside transformers may prevent clean causal attribution; activation patching assumes modularity that may not hold. Sample size and compute: 300-item pilot and 7B model limit statistical power for small effects and increase compute cost for exhaustive patching scans. External validity: synthetic scene-graphs avoid natural ambiguity but may not represent real humanities texts; results may not scale to large, polysemous corpora. Safety gating limits: chosen thresholds can produce false positives (blocking safe outputs) or false negatives (failing to block misaligned outputs).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