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llm_mental_health_diagnostic_survey</w:t>
      </w:r>
    </w:p>
    <w:p>
      <w:r>
        <w:t xml:space="preserve"> </w:t>
      </w:r>
    </w:p>
    <w:p>
      <w:pPr>
        <w:pStyle w:val="Heading2"/>
      </w:pPr>
      <w:r>
        <w:t>Title</w:t>
      </w:r>
    </w:p>
    <w:p>
      <w:r>
        <w:t>Evaluation of retrieval-augmented large language models for DSM/ICD-aligned mental health diagnosis and treatment support</w:t>
      </w:r>
    </w:p>
    <w:p>
      <w:r>
        <w:t xml:space="preserve"> </w:t>
      </w:r>
    </w:p>
    <w:p>
      <w:pPr>
        <w:pStyle w:val="Heading2"/>
      </w:pPr>
      <w:r>
        <w:t>Short Hypothesis</w:t>
      </w:r>
    </w:p>
    <w:p>
      <w:r>
        <w:t>A retrieval-augmented large language model (LLM) that emits DSM/ICD-linked structured diagnostic probabilities with calibrated uncertainty will increase sensitivity for target mental disorders by at least 5 percentage points versus rule-based automated screening, while not increasing the rate of serious adverse events by more than 2 percentage points.</w:t>
      </w:r>
    </w:p>
    <w:p>
      <w:r>
        <w:t xml:space="preserve"> </w:t>
      </w:r>
    </w:p>
    <w:p>
      <w:pPr>
        <w:pStyle w:val="Heading2"/>
      </w:pPr>
      <w:r>
        <w:t>Related Work</w:t>
      </w:r>
    </w:p>
    <w:p>
      <w:r>
        <w:t>Existing work includes therapeutic chatbots, automated symptom screeners, and applying LLMs to clinical text and triage. Methods using retrieval-augmented generation (RAG) add external documents to grounding, and calibration techniques (temperature scaling, isotonic regression) improve probability estimates. Prior studies show LLMs can summarize and classify clinical text but often lack strict grounding to DSM/ICD criteria, expose chain-of-thought reasoning, show poor calibration on clinical tasks, and have limited cross-cultural validation. Safety studies emphasize hard filters for suicidality but rarely integrate them with clinician workflows and rigorous DSMB-monitored trials. Privacy-preserving training (federated learning, differential privacy) is explored but usually reduces performance or is under-evaluated. Overall weaknesses are: lack of DSM/ICD-aligned structured outputs, inconsistent uncertainty quantification, limited bilingual/cultural annotation, few prospective human-in-the-loop trials, and insufficient provenance for evidence links.</w:t>
      </w:r>
    </w:p>
    <w:p>
      <w:r>
        <w:t xml:space="preserve"> </w:t>
      </w:r>
    </w:p>
    <w:p>
      <w:pPr>
        <w:pStyle w:val="Heading2"/>
      </w:pPr>
      <w:r>
        <w:t>Abstract</w:t>
      </w:r>
    </w:p>
    <w:p>
      <w:r>
        <w:t>Problem: Clinical use of large language models (LLMs) for mental health is limited by poor alignment to diagnostic codes, weak uncertainty estimates, cultural bias, and safety concerns. Approach: We propose a study that integrates retrieval-augmented LLMs with a dual-layer annotation schema linking DSM/ICD criteria (Layer A) to narrative-medicine tags (Layer B). The LLM will produce structured JSON outputs: per-diagnosis probabilities with 95% confidence intervals, top differentials, uncertainty flags, short evidence-linked rationales, and escalation directives. Retrieval will inject canonical DSM/ICD text and guideline snippets to ground outputs. Calibration methods (temperature scaling, isotonic regression) will correct probability estimates. Main contribution: a reproducible pipeline and evaluation protocol that tests whether DSM/ICD-grounded, calibrated LLM outputs improve diagnostic sensitivity and decision utility without raising serious adverse events. Expected outcome: empirical evidence on diagnostic accuracy, calibration, fairness across subgroups, and operational safety metrics to inform safe clinical deployment. "Retrieval-augmented" means the model consults external documents for factual grounding; "calibration" means adjusting predicted probabilities to match observed rates.</w:t>
      </w:r>
    </w:p>
    <w:p>
      <w:r>
        <w:t xml:space="preserve"> </w:t>
      </w:r>
    </w:p>
    <w:p>
      <w:pPr>
        <w:pStyle w:val="Heading2"/>
      </w:pPr>
      <w:r>
        <w:t>Experiments</w:t>
      </w:r>
    </w:p>
    <w:p>
      <w:r>
        <w:t>Datasets: 1) Vignette bank: 1,200 clinician-authored vignettes (300 typical, 300 borderline, 300 comorbid, 300 culture-bound), annotated with dual-layer labels and narrative scores. 2) Retrospective multi-site chart dataset: 5,000 de-identified clinical notes with gold-standard structured interview labels (SCID/MINI). 3) Bilingual subset: 800 non-English vignettes with forward/back-translation and adjudication. Hold-out test sets: 20% stratified by disorder and demographics. Baselines: A) rule-based automated screening (PHQ-9/GAD-7 threshold rules), B) ungrounded LLM classifier (same architecture without retrieval), C) retrieval-augmented LLM without calibration, D) retrieval-augmented LLM without narrative Layer B. Proposed system: retrieval-augmented LLM + DSM/ICD grounding + post-hoc calibration + structured JSON outputs. Metrics: diagnostic sensitivity, specificity, PPV, NPV, AUC; calibration metrics: Brier score (mean squared error of probabilities), expected calibration error (ECE, average absolute gap between predicted and observed probabilities), calibration-in-the-large, calibration slope; safety metrics: false-negative rate for high-risk diagnoses, serious adverse-event incidence; utility metrics: decision-curve net benefit, time-to-decision, clinician NASA-TLX (workload), override frequency. Experimental setup: Offline evaluation on vignette and chart test sets with stratified bootstrap (1,000 resamples) to compute 95% CIs. Ablations: compare retrieval vs no retrieval; calibrated vs uncalibrated; with vs without Layer B narrative tags; bilingual vs monolingual training. Prospective pilot: randomized human-in-the-loop pilot (N=400, 200 per arm) comparing usual care vs LLM-assisted triage; primary endpoint diagnostic sensitivity; interim analysis at 50% enrollment with DSMB safety stopping rules. Statistical tests: McNemar for paired binary comparisons, DeLong for AUC differences, mixed-effects logistic regression for subgroup interactions. Power targets: detect 5 percentage point sensitivity increase with 80% power, alpha=0.05 in main prospective comparison.</w:t>
      </w:r>
    </w:p>
    <w:p>
      <w:r>
        <w:t xml:space="preserve"> </w:t>
      </w:r>
    </w:p>
    <w:p>
      <w:pPr>
        <w:pStyle w:val="Heading2"/>
      </w:pPr>
      <w:r>
        <w:t>Risk Factors And Limitations</w:t>
      </w:r>
    </w:p>
    <w:p>
      <w:r>
        <w:t>Technical failure modes: model hallucinations creating unsupported recommendations; degraded calibration on out-of-distribution (OOD) inputs; poor performance under federated training with tight differential-privacy bounds. Data and evaluation biases: skewed sampling by age, language, or care setting; low inter-annotator reliability on narrative scores reducing label quality. Safety limits: inability to fully eliminate false negatives for imminent suicide risk; escalation timelines may be infeasible in low-resource settings. Scalability and compute: retrieval and calibration layers increase latency and compute cost, limiting real-time use. Generalization limits: models trained on the dataset may not generalize to other cultures, rare disorders, or informal text (chat logs) despite bilingual efforts. Regulatory and legal constraints: classification as software-as-a-medical-device (SaMD) could require costly compliance. Ethical limits: dynamic consent and de-identification reduce data availability for model improvement. Definitions: "hallucination" means the model asserts facts not supported by evidence; "OOD" means inputs different from training 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