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silesia_affective_archive</w:t>
      </w:r>
    </w:p>
    <w:p>
      <w:r>
        <w:t xml:space="preserve"> </w:t>
      </w:r>
    </w:p>
    <w:p>
      <w:pPr>
        <w:pStyle w:val="Heading2"/>
      </w:pPr>
      <w:r>
        <w:t>Title</w:t>
      </w:r>
    </w:p>
    <w:p>
      <w:r>
        <w:t>Dialect-aware affective annotation and governance evaluation of a German minority community archive using mixed-methods validation</w:t>
      </w:r>
    </w:p>
    <w:p>
      <w:r>
        <w:t xml:space="preserve"> </w:t>
      </w:r>
    </w:p>
    <w:p>
      <w:pPr>
        <w:pStyle w:val="Heading2"/>
      </w:pPr>
      <w:r>
        <w:t>Short Hypothesis</w:t>
      </w:r>
    </w:p>
    <w:p>
      <w:r>
        <w:t>A dialect-aware affective annotation schema that includes vernacular glosses and prosody flags increases intercoder reliability and alignment between annotations and participant self-reports compared to a generic affective schema.</w:t>
      </w:r>
    </w:p>
    <w:p>
      <w:r>
        <w:t xml:space="preserve"> </w:t>
      </w:r>
    </w:p>
    <w:p>
      <w:pPr>
        <w:pStyle w:val="Heading2"/>
      </w:pPr>
      <w:r>
        <w:t>Related Work</w:t>
      </w:r>
    </w:p>
    <w:p>
      <w:r>
        <w:t>Prior work divides into three relevant strands: affective annotation of spoken and audiovisual material, community and independent archival practice, and dialect-aware transcription/annotation tools. Affective annotation studies often use simple valence/arousal labels or standardized emotion lists but rarely account for local words or prosody (tone, rhythm) that change meaning across dialects. Community archive research emphasizes sovereignty, consent, and relational provenance but typically lacks technical workflows that embed affective metadata and time-aligned transcripts. Dialectal transcription methods (TEI, ELAN, glossing practices) enable fine-grained capture of vernaculars but are not commonly combined with affect tagging or validated intercoder procedures across generations. Limitations: generic affect schemas collapse dialectal meanings; few projects use participant-centered validation (participant review) or longitudinal revalidation; governance and consent metadata are often siloed from preservation metadata, limiting reproducible access control; intercoder calibration procedures are under-specified for cross-dialect reliability and trauma-informed contexts.</w:t>
      </w:r>
    </w:p>
    <w:p>
      <w:r>
        <w:t xml:space="preserve"> </w:t>
      </w:r>
    </w:p>
    <w:p>
      <w:pPr>
        <w:pStyle w:val="Heading2"/>
      </w:pPr>
      <w:r>
        <w:t>Abstract</w:t>
      </w:r>
    </w:p>
    <w:p>
      <w:r>
        <w:t>This study tests whether a dialect-aware affective annotation schema improves the reproducibility and cultural fidelity of affect tags in a German minority community archive. We co-design the schema with a Community Data Stewardship Council (CDSC) and use dialect-stratified cognitive interviews to build a living vernacular glossary. We pilot the schema on 20–50 digitized items (photograph, register page, oral-history segments) and compare intercoder reliability and alignment with participant self-reports against a generic affective schema. We map annotations into interoperable TEI+PREMIS+Dublin Core records and log consent states for reproducible access. The main contribution is an empirically validated pipeline that links dialect-aware annotation, provenance narratives, and dynamic consent, producing measurable improvement in annotation agreement and participant validation. Expected outcomes include quantifiable increases in intercoder agreement, a validated dialect glossary, and operational governance and metadata mappings that can be shared as concise guidance for other minority-language archives.</w:t>
      </w:r>
    </w:p>
    <w:p>
      <w:r>
        <w:t xml:space="preserve"> </w:t>
      </w:r>
    </w:p>
    <w:p>
      <w:pPr>
        <w:pStyle w:val="Heading2"/>
      </w:pPr>
      <w:r>
        <w:t>Experiments</w:t>
      </w:r>
    </w:p>
    <w:p>
      <w:r>
        <w:t>Datasets: Digitized pilot corpus of 20–50 items from the German minority archive in Silesia: 1 family photograph, 1 church register page, and 18–48 oral-history segments (20-minute max each). Participant samples: 60–100 community participants stratified by dialect (minimum n=20 per major dialect group) and age cohort (youth/elders). Annotation teams: 6–8 trained stewards and 10 external coders. Baselines: (A) Generic affective schema with valence/arousal only; (B) Generic schema plus theme list but without vernacular gloss or prosody; (C) Dialect-aware schema (proposed). Evaluation metrics: intercoder reliability (Cohen's kappa for categorical fields; Krippendorff's alpha for multi-coder fields), annotation-participant agreement (percentage agreement and F1-score comparing coder tags to participant self-report labels), annotation completeness (percent of items with vernacular_gloss and prosody flagged), and downstream metadata interoperability checks (successful TEI+PREMIS+Dublin Core export rate). Community impact metrics: pre/post changes in Inclusion of Community in Self (ICS single item), MEIM-6 identity measure, and WHO-5 well-being (paired tests). Experimental setup: 1) Co-design and training phase for stewards (documented); 2) Blind cross-coding: each item coded by at least 3 independent coders under each schema condition (coders randomly assigned, blind to each other's tags); 3) Participant validation: original contributors review annotated excerpts and provide self-report affect labels and free-text validation; 4) Ablation studies: remove vernacular_gloss field, remove prosody flag, and remove dialect-specific training to measure effect on kappa and participant alignment. Statistical analysis: compare kappa and agreement across conditions using paired t-tests or Wilcoxon signed-rank tests; mixed-effects models (items nested within speaker) to test schema effect on agreement; report effect sizes and 95% confidence intervals. Reproducibility: publish annotation handbook, mapping scripts (EAF/ELAN→TEI, TEI→Dublin Core), and synthetic anonymized sample exports.</w:t>
      </w:r>
    </w:p>
    <w:p>
      <w:r>
        <w:t xml:space="preserve"> </w:t>
      </w:r>
    </w:p>
    <w:p>
      <w:pPr>
        <w:pStyle w:val="Heading2"/>
      </w:pPr>
      <w:r>
        <w:t>Risk Factors And Limitations</w:t>
      </w:r>
    </w:p>
    <w:p>
      <w:r>
        <w:t>Small sample size and limited dialect coverage may reduce statistical power and limit generalization to other minority communities. Dialect heterogeneity could produce low intercoder agreement despite schema improvements. Participant trauma or sensitivity around archival items may restrict access to key items, biasing dataset composition. Consent dynamics and embargo changes may alter available data mid-study. Technical risks: mapping errors between ELAN/INCEpTION exports and TEI+PREMIS+Dublin Core could break interoperability; encrypted community copies and key custody introduce operational complexity. Evaluation biases: self-report alignment may reflect social desirability or memory effects rather than annotation accuracy. Compute and scale limits: time-aligned annotation and prosody capture are labor-intensive and do not scale easily without significant human effort. Ethical limits: findings reflect this specific community's governance choices and may not transfer to communities with different power dynamics or archival histories.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