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navigating_impact_ambiguity</w:t>
      </w:r>
    </w:p>
    <w:p>
      <w:r>
        <w:t xml:space="preserve"> </w:t>
      </w:r>
    </w:p>
    <w:p>
      <w:pPr>
        <w:pStyle w:val="Heading2"/>
      </w:pPr>
      <w:r>
        <w:t>Title</w:t>
      </w:r>
    </w:p>
    <w:p>
      <w:r>
        <w:t>Mixed-methods ethnographic and econometric evaluation of how blended-finance instruments and narrative-validated covenants change private co-investor behaviour and measurable social outcomes in impact venture capital</w:t>
      </w:r>
    </w:p>
    <w:p>
      <w:r>
        <w:t xml:space="preserve"> </w:t>
      </w:r>
    </w:p>
    <w:p>
      <w:pPr>
        <w:pStyle w:val="Heading2"/>
      </w:pPr>
      <w:r>
        <w:t>Short Hypothesis</w:t>
      </w:r>
    </w:p>
    <w:p>
      <w:r>
        <w:t>Combined deployment of first-loss (concessional) tranches and narrative-validated impact covenants causes a ≥20% increase in private co-investor follow-on investment rates within 24 months compared to matched deals without these instruments, conditional on founder local-distribution experience.</w:t>
      </w:r>
    </w:p>
    <w:p>
      <w:r>
        <w:t xml:space="preserve"> </w:t>
      </w:r>
    </w:p>
    <w:p>
      <w:pPr>
        <w:pStyle w:val="Heading2"/>
      </w:pPr>
      <w:r>
        <w:t>Related Work</w:t>
      </w:r>
    </w:p>
    <w:p>
      <w:r>
        <w:t>Existing work on impact investing evaluates financial instruments (concessional capital, first-loss tranches, guarantees) and governance covenants separately using descriptive studies or coarse econometric comparisons. Measurement literature proposes standardized metrics (e.g., IRIS+) and counterfactual techniques (matched comparisons, synthetic controls), but often lacks integration with investor decision processes. Qualitative studies document investor and founder narratives, trust dynamics, and local network effects, but they are typically single-case and not linked to causal inference. Limitations in prior approaches: (1) weak causal identification when blended finance and governance are endogenous to deal selection; (2) scarce integration of narrative or multimedia evidence into quantitative models; (3) limited attention to founder-level heterogeneity (local distribution experience, team composition) in instrument effectiveness; (4) high reporting burden and privacy constraints that reduce data quality; (5) few reproducible protocols for validating narrative claims or arts-based evidence. These gaps hinder understanding of how ambiguous definitions of "impact" are mobilized tactically by investors.</w:t>
      </w:r>
    </w:p>
    <w:p>
      <w:r>
        <w:t xml:space="preserve"> </w:t>
      </w:r>
    </w:p>
    <w:p>
      <w:pPr>
        <w:pStyle w:val="Heading2"/>
      </w:pPr>
      <w:r>
        <w:t>Abstract</w:t>
      </w:r>
    </w:p>
    <w:p>
      <w:r>
        <w:t>Impact venture capitalists face ambiguity about what counts as social or environmental impact. This project tests whether blended-finance instruments (first-loss/concessional tranches) combined with narrative-validated impact covenants change private co-investor follow-on behaviour and measurable social outcomes. We use a mixed-methods design: longitudinal ethnography and arts-based evidence (e.g., short participatory video, photovoice) to capture narrative claims and governance dynamics; a curated anonymized deal-level panel from Kenya fintech and India digital-health pilots; and a layered econometric stack (difference-in-differences, synthetic controls, causal forests, survival analysis). We operationalize a structured Narrative-ToC (theory of change fields + automated narrative-credibility index) and pre-register hypotheses and validation rules. Main contributions: an operational pipeline linking narrative credibility to Bayesian priors in causal models, a reproducible protocol for validating arts-based evidence, and empirical estimates of instrument effects conditional on founder attributes. Expected outcome: clear, testable estimates of how blended finance plus validated covenants shift investment behaviour and early measurable impact under real-world ambiguity.</w:t>
      </w:r>
    </w:p>
    <w:p>
      <w:r>
        <w:t xml:space="preserve"> </w:t>
      </w:r>
    </w:p>
    <w:p>
      <w:pPr>
        <w:pStyle w:val="Heading2"/>
      </w:pPr>
      <w:r>
        <w:t>Experiments</w:t>
      </w:r>
    </w:p>
    <w:p>
      <w:r>
        <w:t>Datasets: (1) Pilot panel: anonymized deal-level dataset from Kenya fintech and India digital-health pilots, N_deals ≈ 50-150 (target 3–6 active pilot deals per country plus matched historical portfolio); fields: anonymized_deal_id, country, sector, date, stage, ticket_size, tranche_structure (first-loss_size, concession_rate), instrument_terms, ARR (annual recurring revenue), unit_economics, burn_multiple, follow_on_amounts and dates, exit_type/date/value (banded), lean_ToC_link, IRIS+-mapped core metrics (numeric), leading_indicators (time-stamped), beneficiary_counts (banded), counterfactual_flag, founder attributes (prior_exits, local_distribution_experience boolean, team_size, diversity_score), intermediary_tags. (2) Validation samples: randomized beneficiary phone survey panels (n≈300-600 respondents total) and randomized spot-check document bundles. Baselines: (A) matched deals without first-loss or covenants (propensity-score matched on sector, stage, country, pre-investment ARR); (B) deals with first-loss only; (C) deals with covenants only. Evaluation metrics: primary: private_follow_on_rate (binary within 24 months), follow_on_amount_ratio (private follow-on / total follow-on), time_to_first_follow_on (months); secondary: change_in_IRIS_metric_values (percent), beneficiary_count_growth (percent), survival_to_next_round (binary/time). Methods: Pre-register hypotheses and analysis plan. Causal estimation: panel fixed-effects with clustered SEs by fund; differences-in-differences (DiD) comparing treated vs matched controls with event-time alignment; synthetic control for case-level counterfactuals; causal forests / double/debiased machine learning to estimate heterogeneous treatment effects by founder attributes; Cox proportional hazards or accelerated failure time models for time-to-event. Narrative pipeline: construct Narrative-ToC structured fields (problem, mechanism, beneficiary pathway, assumptions). Generate narrative-credibility index using transformer embeddings (text), topic coherence, sentiment, and arts-evidence tags (photovoice/video metadata). Implement a Bayesian hierarchical model where narrative index forms priors on treatment effectiveness at the deal level; compare posterior estimates to models with flat priors. Validation and robustness: randomized spot-checks and independent corroboration (telco transaction hashes, anonymized receipts) used as binary verification flags. Pre-registered robustness checks: (i) ablation A: remove narrative priors and re-estimate causal effects; (ii) ablation B: drop arts-evidence tags and recompute narrative index; (iii) placebo DiD on pre-treatment periods; (iv) sensitivity to matching caliper sizes and alternative propensity models. Reporting: provide convergence diagnostics, uncertainty intervals, and false-discovery controls (Benjamini-Hochberg) for multiple hypothesis tests. Reproducibility: publish anonymized schema, codebook, and analysis scripts; include a synthetic data generator mirroring pilot distributions for replication.</w:t>
      </w:r>
    </w:p>
    <w:p>
      <w:r>
        <w:t xml:space="preserve"> </w:t>
      </w:r>
    </w:p>
    <w:p>
      <w:pPr>
        <w:pStyle w:val="Heading2"/>
      </w:pPr>
      <w:r>
        <w:t>Risk Factors And Limitations</w:t>
      </w:r>
    </w:p>
    <w:p>
      <w:r>
        <w:t>Small sample sizes and limited number of pilot deals reduce statistical power for causal estimates and heterogeneity analysis. Selection bias: pilots and partners may not be representative of broader markets, and instrument assignment is endogenous to investor choice. Measurement error and strategic reporting: founders may game covenants or narratives, producing biased indicators. Narrative and arts-based evidence introduce subjective interpretation and require careful anonymization; automated text/embedding methods may misrepresent local languages or cultural idioms. Privacy and legal constraints (GDPR-equivalent) limit sharing of raw multimedia and granular transaction data, constraining external replication. Computational costs: transformer-based narrative models and Bayesian hierarchical models require nontrivial compute, which may be constrained in field settings. Generalization: results from Kenya fintech and India digital health may not transfer to other sectors or geographies. Ethical risks: beneficiary contact and multimedia collection pose consent, re-identification, and harm risks. These factors limit definitive causal claims and the external validity of findings.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