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w:t>
      </w:r>
    </w:p>
    <w:p>
      <w:r>
        <w:t xml:space="preserve"> </w:t>
      </w:r>
    </w:p>
    <w:p>
      <w:pPr>
        <w:pStyle w:val="Heading2"/>
      </w:pPr>
      <w:r>
        <w:t>Title</w:t>
      </w:r>
    </w:p>
    <w:p>
      <w:r>
        <w:t>Computational text analysis and ethnographic evaluation of how business leaders use populist rhetoric to shape consumption</w:t>
      </w:r>
    </w:p>
    <w:p>
      <w:r>
        <w:t xml:space="preserve"> </w:t>
      </w:r>
    </w:p>
    <w:p>
      <w:pPr>
        <w:pStyle w:val="Heading2"/>
      </w:pPr>
      <w:r>
        <w:t>Short Hypothesis</w:t>
      </w:r>
    </w:p>
    <w:p>
      <w:r>
        <w:t>Exposure to corporate messages that employ populist rhetoric (people-versus-elites or nationalist framing) causes an increase in consumers' purchase intent for the promoted products compared to exposure to neutral corporate messages.</w:t>
      </w:r>
    </w:p>
    <w:p>
      <w:r>
        <w:t xml:space="preserve"> </w:t>
      </w:r>
    </w:p>
    <w:p>
      <w:pPr>
        <w:pStyle w:val="Heading2"/>
      </w:pPr>
      <w:r>
        <w:t>Related Work</w:t>
      </w:r>
    </w:p>
    <w:p>
      <w:r>
        <w:t>Existing work divides into two broad approaches. One strand is qualitative discourse and political-populism scholarship that theorizes populist logic (people vs. elites, moralizing appeals) and documents case studies; this work gives deep mechanisms but lacks scale and formal measurement. A second strand is computational media and political text analysis using supervised classifiers, multi-label framing detection, sentiment/stance models, and cross-lingual transformers; these methods scale but typically focus on party politics, news, or social movements rather than corporate actors. Consumer-culture and corporate political activity literatures analyze firm strategies and effects on markets, but they rarely operationalize rhetorical frames at textual scale or link them experimentally to consumer behavior. Limitations across these literatures include: few annotated corpora tailored to corporate populist frames, weak cross-language comparability, poor detection of low-frequency or emergent subframes, limited integration of ethnographic context into model training, and scarce causal tests connecting corporate rhetoric to real consumer outcomes.</w:t>
      </w:r>
    </w:p>
    <w:p>
      <w:r>
        <w:t xml:space="preserve"> </w:t>
      </w:r>
    </w:p>
    <w:p>
      <w:pPr>
        <w:pStyle w:val="Heading2"/>
      </w:pPr>
      <w:r>
        <w:t>Abstract</w:t>
      </w:r>
    </w:p>
    <w:p>
      <w:r>
        <w:t>We study "consumption populism": the process by which business leaders use populist logic and affective practices to construct collective consumer identities and shape purchases. We combine computational text analysis with ethnographic fieldwork and controlled consumer experiments. First, we build a multi-label annotated corpus of corporate texts (CEO speeches, ads, CSR reports, social posts) across three country-sector windows and train a domain-adapted multilingual transformer to detect populist macro-frames and subframes. Second, ethnographic field memos supply emergent exemplars that enter an active-learning loop to improve low-frequency label detection. Third, randomized message experiments with purchase-intent and willingness-to-pay outcomes test causal effects of populist framing. The main contribution is a validated, scalable measurement of corporate populist rhetoric plus causal evidence of its consumer effects. Expected outcomes include a reproducible annotation scheme, benchmark models for cross-lingual detection of consumption populism, and experimental estimates of the effect of populist corporate messages on consumer choice and perceived authenticity.</w:t>
      </w:r>
    </w:p>
    <w:p>
      <w:r>
        <w:t xml:space="preserve"> </w:t>
      </w:r>
    </w:p>
    <w:p>
      <w:pPr>
        <w:pStyle w:val="Heading2"/>
      </w:pPr>
      <w:r>
        <w:t>Experiments</w:t>
      </w:r>
    </w:p>
    <w:p>
      <w:r>
        <w:t>Datasets: (1) Gold-labeled pilot corpus: 1,200 documents (balanced across US 2016–20 platforms/retail, Brazil 2018–21 food/agri, India 2020–21 pharma/healthcare), each labeled for macro-frame presence (binary), multi-label subframes, rhetorical-device counts normalized per 1k words, and intensity score (0–3). (2) Unlabeled corpus: 50,000 corporate texts and social posts for active learning. (3) Amplification metadata: impressions, retweets/shares, ad-spend flags where available. (4) Survey experiment sample: N=2,400 (online panels stratified by country) for 4-arm between-subject A/B with repeated exposure; Conjoint sample: N=1,000 with 8 tasks per respondent. Baselines: (A) lexicon keyword matcher using cue-phrases; (B) logistic regression on TF-IDF n-grams; (C) monolingual BERT fine-tuned per language; (D) XLM-R multi-label fine-tuned without lexicon features. Proposed model: XLM-R fine-tuned multi-label classifier augmented with lexicon-derived feature vectors and an intensity regression head (multi-task: binary cross-entropy for subframes + MSE for intensity). Training and validation: stratified 5-fold cross-validation by country and sector; holdout test set 10% by time window. Active learning: uncertainty sampling (select documents with lowest max-label confidence) in batches of 200; retrain after each batch for 6 rounds. Evaluation metrics: macro-F1 and micro-F1 (F1 combines precision and recall), per-label AUC (area under ROC), precision@k, Krippendorff's alpha (intercoder reliability) for human labels, RMSE for intensity scores, per-language error profiles, and calibration plots. Survey metrics: primary outcomes are purchase intent (1–7 Likert) and WTP (currency slider); report ITT ATE (intent-to-treat average treatment effect), Cohen's d, and mediation analysis with perceived authenticity and elite-blame (causal mediation model). Causal diffusion test: difference-in-differences on message volume and sales proxies around exogenous platform algorithm change dates. Ablation studies: (1) remove lexicon features from XLM-R, (2) disable active learning and train only on initial gold set, (3) replace XLM-R with monolingual BERTs, (4) exclude ethnography-derived exemplars from annotation pool. Reproducibility: all runs logged, model checkpoints saved, and experiments containerized (Docker).</w:t>
      </w:r>
    </w:p>
    <w:p>
      <w:r>
        <w:t xml:space="preserve"> </w:t>
      </w:r>
    </w:p>
    <w:p>
      <w:pPr>
        <w:pStyle w:val="Heading2"/>
      </w:pPr>
      <w:r>
        <w:t>Risk Factors And Limitations</w:t>
      </w:r>
    </w:p>
    <w:p>
      <w:r>
        <w:t>Annotation risks: low inter-coder agreement on edge cases and intensity scoring; emergent subframes may be rare and hard to learn. Data biases: unequal availability of platform metadata and ad-spend across countries; selection bias in corporate texts (public vs internal). Cross-language limits: code-switching and idiomatic expressions may reduce lexical-density comparability and raise false positives. Model failure modes: overfitting to high-frequency cues, poor recall on low-frequency subframes, and misclassification of satire or parody as populist rhetoric. Causal inference limits: survey experiments may not generalize to market behavior (external validity); natural experiments (platform changes) may violate parallel trends assumptions. Legal and compliance constraints: platform TOS and data-access limits may restrict data collection. Compute and scale: fine-tuning multilingual transformers and active learning on large corpora requires substantial GPU resources. Ethical constraints: political sensitivity of materials and risks to participant safety when fieldwork occurs in contentious settings. Generalization: findings may not transfer beyond the selected country-sector windows or to non-corporate populist actors.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