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risk_homogeneity_systemic_risk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Text- and market-based measurement of corporate risk-perception homogeneity and its causal impact on systemic financial risk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Increases in cross-firm homogeneity of perceived risk cause higher systemic tail risk, as measured by SRISK, Delta-CoVaR, and MES, conditional on average firm risk being held constant.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fall into three groups: (1) market-dispersion methods that use price-based signals (implied volatility, CDS spreads, analyst-forecast dispersion) to measure disagreement; (2) single-modality text methods that extract sentiment or topics from disclosures using topic models or embeddings; and (3) network-contagion models that simulate cascades using observed or inferred exposures (DebtRank, Eisenberg-Noe variants). Limitations: market-only approaches miss narrative alignment; text-only approaches often lack rigorous causal linkage to systemic outcomes and suffer from embedding drift over time; network models typically use sparse or ad-hoc exposure reconstructions and are rarely calibrated to text-derived belief alignment. Few studies combine market signals, stable text embeddings, credible exogenous instruments, and multilayer network counterfactuals to identify causal channels.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whether synchronization of corporate risk perceptions amplifies systemic financial tail risk. We extract firm risk perceptions from earnings-call transcripts and 10-K/MD&amp;A using fine-tuned contextual embeddings, and compute parallel market-based dispersion measures from implied volatilities and CDS spreads. We form two homogeneity streams (monthly numeric, quarterly textual) and fuse them into a single homogeneity index. Using staggered analyst-coverage entry and option-listing timing as instruments, we estimate causal impulse responses of SRISK, Delta-CoVaR, and MES to homogeneity shocks. We complement reduced-form estimation with calibrated multilayer network counterfactuals that vary dispersion while holding mean risk fixed to isolate channels—synchronized deleveraging, funding runs, and fire-sales. The main contribution is a reproducible, multimodal pipeline that links text-derived beliefs to systemic outcomes with credible identification and network experiments. Expected outcome: clear evidence on whether and how belief homogeneity amplifies systemic tail risk and actionable channel-level diagnostics for policy stress tests.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CRSP/Compustat (returns, fundamentals); OptionMetrics (implied volatilities); Markit CDS; I/B/E/S (analyst coverage); corpus of earnings-call transcripts and 10-K/MD&amp;A filings; SRISK and market-liquidity series (bid-ask, depth); supply-chain and ownership datasets where available. Time window: at least 10 years of quarterly filings and monthly market data. Baselines: (A) numeric-only homogeneity (Ht_num) using implied-vol rolling-window pairwise correlations (6-month windows); (B) text-only homogeneity (Ht_text) using average pairwise cosine similarity of document embeddings; (C) naive sentiment/topic-frequency baselines. Homogeneity construction: compute Ht_num monthly; Ht_text quarterly; fuse via PCA first principal component (first-PC) and report weighted ensembles (40/60 numeric/text) as sensitivity. Estimation: local projections (Jorda) estimating impulse responses up to 12 months with Ht_num lags 0–6 months and Ht_text lags 0–4 quarters; include firm and time fixed effects, controls for mean risk, size, leverage, VIX, and sector shocks. Identification: two-stage least squares (2SLS) with instruments: staggered analyst-coverage entry and option-listing timing; report first-stage F-statistics and weak-IV diagnostics. Event methods: Callaway-Sant'Anna staggered DID and synthetic controls for key events; run pre-trend lead tests and placebo windows. Network counterfactuals: build multilayer graph (credit exposures via IPF/maximum-entropy where missing; overlapping portfolios; supply chains; derivatives layer when available), calibrate to degree/strength and price-impact moments; run Monte Carlo sweeps varying dispersion parameters while holding mean risk fixed; contagion modules: Eisenberg-Noe clearing, DebtRank propagation, and endogenous fire-sales with price-impact parameter grid. Metrics: SRISK aggregate capital shortfall, Delta-CoVaR at 95th percentile, MES at 5%, DebtRank aggregate, number of defaults, peak liquidity shortfall, time-to-contagion, IRF bootstrap confidence intervals (block bootstrap), p-values, and permutation inference p-values. Ablations: (1) drop Ht_text, (2) drop Ht_num, (3) alternate fusion weights (0/100 to 100/0), (4) alternate homogeneity metrics (Gini, entropy, tail correlation), (5) alternate embedding models (FinBERT vs Longformer vs static embeddings). Embedding diagnostics: rolling KS test on cosine distributions, cosine-drift traces, and Procrustes alignment when retraining. Reporting: balance tables showing mean-risk stability around instruments, first-stage statistics, IRF plots with bootstrap CIs, falsification battery results, and sensitivity grids from network sweeps.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Endogeneity risk: instruments may imperfectly satisfy exclusion restrictions if they affect mean risk or liquidity directly. Instrument weakness: staggered events can produce weak first stages for some subsamples. Embedding drift: retraining or model upgrades can change embedding geometry, harming comparability across quarters. Missing bilateral exposure data: IPF/maximum-entropy reconstructions are sensitive to input moments and introduce model risk. Survivorship and selection bias: sample limited to firms with transcripts/options leads to nonrandom coverage. Measurement error: topic entropy and cosine-similarity aggregate noisy signals and may misclassify risk themes. Scalability and compute: long-document transformers and network Monte Carlo sweeps require GPUs and moderate storage, which may limit full-sample runs. Generalization limits: results calibrated to U.S. markets and disclosure regimes may not transfer to other jurisdictions or to crisis regimes with structural breaks. Small labeled corpus: limited human labels reduce embedding fine-tuning power and saliency validation.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